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A2" w:rsidRDefault="003B4A96">
      <w:pPr>
        <w:pStyle w:val="Zwykytekst"/>
        <w:numPr>
          <w:ilvl w:val="0"/>
          <w:numId w:val="1"/>
        </w:numPr>
        <w:jc w:val="both"/>
      </w:pPr>
      <w:r>
        <w:t>Prosimy o podanie gabarytów elementów, a w szczególności ich wysokości i szerokości najazdów.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W pliku o nazwie „zalacznik_nr_1_rzut_skateparku.pdf” stanowiącym załącznik do specyfikacji technicznej podano wymagane informacje.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 xml:space="preserve">Czy „kąty” najazdów należy </w:t>
      </w:r>
      <w:r>
        <w:t>dobrać zgodnie z zasadami ergonomii jazdy [szerokości elementów]?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Tak. W pliku o nazwie „zalacznik_nr_1_rzut_skateparku.pdf” stanowiącym załącznik do specyfikacji technicznej podano wymagane informacje.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>Z jakich materiałów należy wykonać poszczególne obi</w:t>
      </w:r>
      <w:r>
        <w:t xml:space="preserve">ekty </w:t>
      </w:r>
      <w:proofErr w:type="spellStart"/>
      <w:r>
        <w:t>skateingowe</w:t>
      </w:r>
      <w:proofErr w:type="spellEnd"/>
      <w:r>
        <w:t>: betonu, sklejki, stali, kompozytów 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bookmarkStart w:id="0" w:name="__DdeLink__363_533299716"/>
      <w:bookmarkEnd w:id="0"/>
      <w:r>
        <w:t>W pliku o nazwie „specyfikacja_techniczna_skatepark_2017.doc” podano wymagane informacje.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 xml:space="preserve">Czy użyte materiały na poszczególne obiekty maja spełniać wymogi normy dotyczącej </w:t>
      </w:r>
      <w:proofErr w:type="spellStart"/>
      <w:r>
        <w:t>skateparków</w:t>
      </w:r>
      <w:proofErr w:type="spellEnd"/>
      <w:r>
        <w:t xml:space="preserve"> PN-EN 14974+A1:</w:t>
      </w:r>
      <w:r>
        <w:t>2010 “Urządzenia dla użytkowników sprzętu rolkowego. Wymagania bezpieczeństwa i metody badań” 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Wszystkie urządzenie muszą spełniać przepisy prawa i normy opisujące tego typu urządzenia, również normę wskazaną w pytaniu.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>Prosimy o podanie informacji doty</w:t>
      </w:r>
      <w:r>
        <w:t>czących podłoża i miejsca montażu.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 xml:space="preserve">Podłoże stanowi wybetonowany plac o wymiarach podanych w </w:t>
      </w:r>
      <w:r>
        <w:t>pliku o nazwie „zalacznik_nr_1_rzut_skateparku.pdf”.</w:t>
      </w:r>
    </w:p>
    <w:p w:rsidR="00C41AA2" w:rsidRDefault="003B4A96">
      <w:pPr>
        <w:pStyle w:val="Zwykytekst"/>
        <w:ind w:left="720"/>
        <w:jc w:val="both"/>
      </w:pPr>
      <w:r>
        <w:t>W IDW określono „</w:t>
      </w:r>
      <w:r>
        <w:rPr>
          <w:b/>
          <w:bCs/>
          <w:szCs w:val="20"/>
          <w:u w:val="single"/>
        </w:rPr>
        <w:t>Miejsce realizacji</w:t>
      </w:r>
      <w:r>
        <w:t xml:space="preserve"> </w:t>
      </w:r>
      <w:r>
        <w:rPr>
          <w:b/>
          <w:szCs w:val="20"/>
        </w:rPr>
        <w:t>Kędzierzyn-Koźle, al. Jana Pawła II”</w:t>
      </w:r>
      <w:r>
        <w:rPr>
          <w:szCs w:val="20"/>
        </w:rPr>
        <w:t xml:space="preserve">. Obecny </w:t>
      </w:r>
      <w:proofErr w:type="spellStart"/>
      <w:r>
        <w:rPr>
          <w:szCs w:val="20"/>
        </w:rPr>
        <w:t>skatepark</w:t>
      </w:r>
      <w:proofErr w:type="spellEnd"/>
      <w:r>
        <w:rPr>
          <w:szCs w:val="20"/>
        </w:rPr>
        <w:t xml:space="preserve"> ze sklejki znajduje </w:t>
      </w:r>
      <w:r>
        <w:rPr>
          <w:szCs w:val="20"/>
        </w:rPr>
        <w:t xml:space="preserve">się na Placu Młodzieży, pomiędzy Halą Sportową Śródmieście, a Krytą Pływalnią, działka nr 29/5. Urządzenia ze sklejki należy rozebrać i w ich miejsce postawić urządzenia opisane w plikach </w:t>
      </w:r>
      <w:r>
        <w:t>„zalacznik_nr_1_rzut_skateparku.pdf” i „specyfikacja_techniczna_skat</w:t>
      </w:r>
      <w:r>
        <w:t>epark_2017.doc”. Zgodnie z treścią SIWZ Zamawiający dopuszcza możliwość swobodnej wizji lokalnej w miejscu montażu.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 xml:space="preserve">Przedmiotem przetargu jest dostawa i montaż elementów wyposażenia </w:t>
      </w:r>
      <w:proofErr w:type="spellStart"/>
      <w:r>
        <w:t>skateparku</w:t>
      </w:r>
      <w:proofErr w:type="spellEnd"/>
      <w:r>
        <w:t xml:space="preserve"> – czyli domyślnie gotowe urządzenia, prefabrykaty itp. natomia</w:t>
      </w:r>
      <w:r>
        <w:t>st w Warunkach Udziału w Postępowaniu Zamawiający wymaga doświadczenia w postaci robót budowlanych [np. torkretowania].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W pliku o nazwie „specyfikacja_techniczna_skatepark_2017.doc” podano wymagane informacje. Torkretowanie jest techniką wykończenia gotow</w:t>
      </w:r>
      <w:r>
        <w:t>ych elementów.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 xml:space="preserve">Czy Zamawiający dopuści doświadczenie w postaci realizacji 5 </w:t>
      </w:r>
      <w:proofErr w:type="spellStart"/>
      <w:r>
        <w:t>skateparków</w:t>
      </w:r>
      <w:proofErr w:type="spellEnd"/>
      <w:r>
        <w:t xml:space="preserve"> w technologii monolitycznej o minimalnej wartości zamówienia w zakresie każdego </w:t>
      </w:r>
      <w:proofErr w:type="spellStart"/>
      <w:r>
        <w:t>skateparku</w:t>
      </w:r>
      <w:proofErr w:type="spellEnd"/>
      <w:r>
        <w:t xml:space="preserve"> 200.000,- zł. ?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ind w:left="737"/>
        <w:jc w:val="both"/>
      </w:pPr>
      <w:r>
        <w:t xml:space="preserve">Zgodnie z punktem 7.2 SIWZ_IDW określającym wymogi </w:t>
      </w:r>
      <w:r>
        <w:t xml:space="preserve">stawiane wykonawcom w zakresie zdolności technicznych – doświadczenia, Zamawiający dopuści doświadczenie wskazane w zapytaniu pod warunkiem, że urządzenia </w:t>
      </w:r>
      <w:proofErr w:type="spellStart"/>
      <w:r>
        <w:t>skateparków</w:t>
      </w:r>
      <w:proofErr w:type="spellEnd"/>
      <w:r>
        <w:t xml:space="preserve"> tam wskazanych zostały wykonane w technologii torkretowania  oraz jeśli w co najmniej trz</w:t>
      </w:r>
      <w:r>
        <w:t xml:space="preserve">ech </w:t>
      </w:r>
      <w:proofErr w:type="spellStart"/>
      <w:r>
        <w:t>skateparkach</w:t>
      </w:r>
      <w:proofErr w:type="spellEnd"/>
      <w:r>
        <w:t xml:space="preserve"> w urządzeniach zostały zastosowane rdzenie styropianowe o oznaczeniu minimum EPS 200.</w:t>
      </w:r>
      <w:r>
        <w:rPr>
          <w:rFonts w:cs="Tahoma"/>
          <w:sz w:val="16"/>
          <w:szCs w:val="16"/>
        </w:rPr>
        <w:t xml:space="preserve"> 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>Czy Zamawiający dopuści realizacje zamówienia przy użyciu prefabrykatów?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Nie. Wszelkie szczegóły wykonania wynikają z pliku o nazwie „specyfikacja_techniczna_skatepark_2017.doc”</w:t>
      </w:r>
      <w:bookmarkStart w:id="1" w:name="_GoBack"/>
      <w:bookmarkEnd w:id="1"/>
      <w:r>
        <w:t>.</w:t>
      </w:r>
    </w:p>
    <w:p w:rsidR="00C41AA2" w:rsidRDefault="00C41AA2">
      <w:pPr>
        <w:pStyle w:val="Zwykytekst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t>Czy Zamawiający dołączy przedmiary o których mowa w pkt. 29.3 SIWZ 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W pliku o nazwie „zalacznik_nr_1_rzut_skateparku.pdf” stanowiącym załącznik do specyfikacji technicznej podano wymagane informacje.</w:t>
      </w:r>
    </w:p>
    <w:p w:rsidR="00C41AA2" w:rsidRDefault="00C41AA2">
      <w:pPr>
        <w:pStyle w:val="Zwykytekst"/>
        <w:ind w:left="720"/>
        <w:jc w:val="both"/>
      </w:pP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numPr>
          <w:ilvl w:val="0"/>
          <w:numId w:val="1"/>
        </w:numPr>
        <w:jc w:val="both"/>
      </w:pPr>
      <w:r>
        <w:lastRenderedPageBreak/>
        <w:t>Zamawiający określa t</w:t>
      </w:r>
      <w:r>
        <w:t>ermin wykonania zadania na: nie dłuższy niż 60 dni kalendarzowych na każdy z etapów, licząc od daty zawarcia umowy, w przypadku Etapu I-ego oraz od daty pisemnego zamówienia Wykonawcy na wykonanie Etapu II-ego.</w:t>
      </w:r>
    </w:p>
    <w:p w:rsidR="00C41AA2" w:rsidRDefault="003B4A96">
      <w:pPr>
        <w:pStyle w:val="Zwykytekst"/>
        <w:ind w:left="720"/>
        <w:jc w:val="both"/>
      </w:pPr>
      <w:r>
        <w:t xml:space="preserve">Informujemy, że termin taki jest bardzo mało </w:t>
      </w:r>
      <w:r>
        <w:t>realny do wykonania ze względu na procesy technologiczne oraz bardzo duży zakres robót.</w:t>
      </w:r>
    </w:p>
    <w:p w:rsidR="00C41AA2" w:rsidRDefault="003B4A96">
      <w:pPr>
        <w:pStyle w:val="Zwykytekst"/>
        <w:ind w:left="720"/>
        <w:jc w:val="both"/>
      </w:pPr>
      <w:r>
        <w:t>Czy Zamawiający biorąc pod uwagę powyższe zmieni termin wykonania zadania na nie dłuższy niż 105 dni kalendarzowych?</w:t>
      </w:r>
    </w:p>
    <w:p w:rsidR="00C41AA2" w:rsidRDefault="00C41AA2">
      <w:pPr>
        <w:pStyle w:val="Zwykytekst"/>
        <w:ind w:left="720"/>
        <w:jc w:val="both"/>
      </w:pPr>
    </w:p>
    <w:p w:rsidR="00C41AA2" w:rsidRDefault="003B4A96">
      <w:pPr>
        <w:pStyle w:val="Zwykytekst"/>
        <w:ind w:left="720"/>
        <w:jc w:val="both"/>
      </w:pPr>
      <w:r>
        <w:t>Zamawiający zmieni termin wykonania zadania w zakr</w:t>
      </w:r>
      <w:r>
        <w:t>esie Etapu II-ego (patrz SIWZ_IDW).</w:t>
      </w:r>
    </w:p>
    <w:p w:rsidR="00C41AA2" w:rsidRDefault="00C41AA2">
      <w:pPr>
        <w:jc w:val="both"/>
      </w:pPr>
    </w:p>
    <w:sectPr w:rsidR="00C41AA2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52100"/>
    <w:multiLevelType w:val="multilevel"/>
    <w:tmpl w:val="6C6C0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C57A2"/>
    <w:multiLevelType w:val="multilevel"/>
    <w:tmpl w:val="556A1B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A2"/>
    <w:rsid w:val="003B4A96"/>
    <w:rsid w:val="00C4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A0580-AAD9-48DD-8728-3169B096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535F02"/>
    <w:rPr>
      <w:rFonts w:ascii="Calibri" w:hAnsi="Calibri"/>
      <w:szCs w:val="21"/>
    </w:rPr>
  </w:style>
  <w:style w:type="character" w:customStyle="1" w:styleId="ListLabel1">
    <w:name w:val="ListLabel 1"/>
    <w:qFormat/>
    <w:rPr>
      <w:rFonts w:cs="Trebuchet MS"/>
      <w:b/>
      <w:sz w:val="16"/>
      <w:szCs w:val="16"/>
    </w:rPr>
  </w:style>
  <w:style w:type="character" w:customStyle="1" w:styleId="ListLabel2">
    <w:name w:val="ListLabel 2"/>
    <w:qFormat/>
    <w:rPr>
      <w:rFonts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535F02"/>
    <w:pPr>
      <w:spacing w:after="0" w:line="240" w:lineRule="auto"/>
    </w:pPr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516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Składny</dc:creator>
  <dc:description/>
  <cp:lastModifiedBy>Rafał Składny</cp:lastModifiedBy>
  <cp:revision>9</cp:revision>
  <dcterms:created xsi:type="dcterms:W3CDTF">2017-07-31T06:46:00Z</dcterms:created>
  <dcterms:modified xsi:type="dcterms:W3CDTF">2017-08-01T11:31:00Z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