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177FC04A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B90EF8" w:rsidRPr="00B90EF8">
        <w:rPr>
          <w:rFonts w:cs="Arial"/>
          <w:b/>
          <w:caps/>
        </w:rPr>
        <w:t xml:space="preserve">miejscowego planu zagospodarowania przestrzennego dla </w:t>
      </w:r>
      <w:r w:rsidR="00E036FD">
        <w:rPr>
          <w:rFonts w:cs="Arial"/>
          <w:b/>
          <w:caps/>
        </w:rPr>
        <w:t xml:space="preserve">części </w:t>
      </w:r>
      <w:r w:rsidR="00B90EF8" w:rsidRPr="00B90EF8">
        <w:rPr>
          <w:rFonts w:cs="Arial"/>
          <w:b/>
          <w:caps/>
        </w:rPr>
        <w:t xml:space="preserve">obszaru miasta Kędzierzyn-Koźle położonego na terenie osiedla </w:t>
      </w:r>
      <w:r w:rsidR="00E036FD">
        <w:rPr>
          <w:rFonts w:cs="Arial"/>
          <w:b/>
          <w:caps/>
        </w:rPr>
        <w:t>kuźniczka, w rejonie ulicy grunwaldzkiej i gajowej oraz terenów kolejowych, obejmującego cmentarz komunalny wraz z drogami dojazdowymi</w:t>
      </w:r>
      <w:r w:rsidR="00977EA7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37612231" w:rsidR="006A2467" w:rsidRDefault="006A2467" w:rsidP="006A2467">
      <w:pPr>
        <w:rPr>
          <w:b/>
        </w:rPr>
      </w:pPr>
    </w:p>
    <w:p w14:paraId="3D62D219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1322E506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3CB8C5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1788891D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6C00CFE2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763413B3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46E4AAF2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4D7ED59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15D3D26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14:paraId="7A3A774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2FFEC6C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796BEB"/>
    <w:rsid w:val="00977EA7"/>
    <w:rsid w:val="009D0C99"/>
    <w:rsid w:val="00A90C49"/>
    <w:rsid w:val="00AB5683"/>
    <w:rsid w:val="00AC2EDF"/>
    <w:rsid w:val="00B34172"/>
    <w:rsid w:val="00B42963"/>
    <w:rsid w:val="00B85C3A"/>
    <w:rsid w:val="00B90EF8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036FD"/>
    <w:rsid w:val="00E91F47"/>
    <w:rsid w:val="00F45A8A"/>
    <w:rsid w:val="00F67749"/>
    <w:rsid w:val="00FB5186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2</cp:revision>
  <dcterms:created xsi:type="dcterms:W3CDTF">2020-07-28T11:06:00Z</dcterms:created>
  <dcterms:modified xsi:type="dcterms:W3CDTF">2020-07-28T11:06:00Z</dcterms:modified>
</cp:coreProperties>
</file>