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B1F0" w14:textId="58B0D92F" w:rsidR="00CD6EF1" w:rsidRPr="00AB2E20" w:rsidRDefault="00CD6EF1" w:rsidP="00CD6EF1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Załą</w:t>
      </w:r>
      <w:r>
        <w:rPr>
          <w:sz w:val="20"/>
          <w:szCs w:val="20"/>
        </w:rPr>
        <w:t>cznik nr 5 do konkursu KST.524.5.202</w:t>
      </w:r>
      <w:r w:rsidR="00E00CE0">
        <w:rPr>
          <w:sz w:val="20"/>
          <w:szCs w:val="20"/>
        </w:rPr>
        <w:t>2</w:t>
      </w:r>
      <w:r w:rsidRPr="00AB2E20">
        <w:rPr>
          <w:sz w:val="20"/>
          <w:szCs w:val="20"/>
        </w:rPr>
        <w:t xml:space="preserve"> </w:t>
      </w:r>
    </w:p>
    <w:p w14:paraId="2E6201C8" w14:textId="7FC91F3D" w:rsidR="00CD6EF1" w:rsidRPr="00AB2E20" w:rsidRDefault="00CD6EF1" w:rsidP="00CD6EF1">
      <w:pPr>
        <w:jc w:val="right"/>
        <w:rPr>
          <w:sz w:val="20"/>
          <w:szCs w:val="20"/>
        </w:rPr>
      </w:pPr>
      <w:r w:rsidRPr="00AB2E20">
        <w:rPr>
          <w:sz w:val="20"/>
          <w:szCs w:val="20"/>
        </w:rPr>
        <w:t>z dnia</w:t>
      </w:r>
      <w:r w:rsidR="00E00CE0">
        <w:rPr>
          <w:sz w:val="20"/>
          <w:szCs w:val="20"/>
        </w:rPr>
        <w:t xml:space="preserve">   </w:t>
      </w:r>
      <w:r w:rsidR="009574B2">
        <w:rPr>
          <w:sz w:val="20"/>
          <w:szCs w:val="20"/>
        </w:rPr>
        <w:t>18.05.</w:t>
      </w:r>
      <w:r>
        <w:rPr>
          <w:sz w:val="20"/>
          <w:szCs w:val="20"/>
        </w:rPr>
        <w:t>202</w:t>
      </w:r>
      <w:r w:rsidR="00E00CE0">
        <w:rPr>
          <w:sz w:val="20"/>
          <w:szCs w:val="20"/>
        </w:rPr>
        <w:t>2</w:t>
      </w:r>
      <w:r w:rsidRPr="00AB2E20">
        <w:rPr>
          <w:sz w:val="20"/>
          <w:szCs w:val="20"/>
        </w:rPr>
        <w:t xml:space="preserve"> r.</w:t>
      </w:r>
    </w:p>
    <w:p w14:paraId="00EB14FA" w14:textId="77777777" w:rsidR="00CD6EF1" w:rsidRPr="00377853" w:rsidRDefault="00CD6EF1" w:rsidP="00CD6EF1">
      <w:pPr>
        <w:jc w:val="right"/>
      </w:pPr>
      <w:r w:rsidRPr="00DC13E5">
        <w:fldChar w:fldCharType="begin"/>
      </w:r>
      <w:r w:rsidRPr="00DC13E5">
        <w:fldChar w:fldCharType="end"/>
      </w:r>
      <w:r w:rsidRPr="00DC13E5">
        <w:t xml:space="preserve"> </w:t>
      </w:r>
    </w:p>
    <w:p w14:paraId="55905A97" w14:textId="77777777" w:rsidR="00CD6EF1" w:rsidRDefault="00CD6EF1" w:rsidP="00CD6EF1">
      <w:pPr>
        <w:jc w:val="center"/>
      </w:pPr>
    </w:p>
    <w:p w14:paraId="1DF02D4C" w14:textId="77777777" w:rsidR="00CD6EF1" w:rsidRPr="00DC13E5" w:rsidRDefault="00CD6EF1" w:rsidP="00CD6EF1">
      <w:pPr>
        <w:jc w:val="center"/>
        <w:rPr>
          <w:b/>
        </w:rPr>
      </w:pPr>
      <w:r w:rsidRPr="00DC13E5">
        <w:rPr>
          <w:b/>
        </w:rPr>
        <w:t>Zasady finansowania zadania oraz katalog kosztów kwalifikowanych</w:t>
      </w:r>
    </w:p>
    <w:p w14:paraId="6F2029F8" w14:textId="591C6D71" w:rsidR="00CD6EF1" w:rsidRPr="00DC13E5" w:rsidRDefault="00CD6EF1" w:rsidP="00CD6EF1">
      <w:pPr>
        <w:jc w:val="center"/>
        <w:rPr>
          <w:b/>
        </w:rPr>
      </w:pPr>
      <w:r w:rsidRPr="00DC13E5">
        <w:rPr>
          <w:b/>
        </w:rPr>
        <w:t>możliwych do dofinansowania ze środków budżetu Gminy Kędzierzyn-Koźle w</w:t>
      </w:r>
      <w:r>
        <w:rPr>
          <w:b/>
        </w:rPr>
        <w:t> </w:t>
      </w:r>
      <w:r w:rsidRPr="00DC13E5">
        <w:rPr>
          <w:b/>
        </w:rPr>
        <w:t>ramach zlecania podmiotom niezaliczanym do sektora finans</w:t>
      </w:r>
      <w:r>
        <w:rPr>
          <w:b/>
        </w:rPr>
        <w:t xml:space="preserve">ów publicznych realizacji zadania publicznego </w:t>
      </w:r>
      <w:r w:rsidRPr="00DC13E5">
        <w:rPr>
          <w:b/>
        </w:rPr>
        <w:t xml:space="preserve">Gminy Kędzierzyn-Koźle będących w zakresie Wydziału Kultury, </w:t>
      </w:r>
      <w:smartTag w:uri="urn:schemas-microsoft-com:office:smarttags" w:element="PersonName">
        <w:r w:rsidRPr="00DC13E5">
          <w:rPr>
            <w:b/>
          </w:rPr>
          <w:t>Sport</w:t>
        </w:r>
      </w:smartTag>
      <w:r w:rsidRPr="00DC13E5">
        <w:rPr>
          <w:b/>
        </w:rPr>
        <w:t>u i Turystyki</w:t>
      </w:r>
      <w:r>
        <w:rPr>
          <w:b/>
        </w:rPr>
        <w:t xml:space="preserve"> Urzędu Miasta Kędzierzyn-Koźle</w:t>
      </w:r>
      <w:r w:rsidRPr="00DC13E5">
        <w:rPr>
          <w:b/>
        </w:rPr>
        <w:t>.</w:t>
      </w:r>
    </w:p>
    <w:p w14:paraId="741C2AF0" w14:textId="77A840E1" w:rsidR="00FC43A3" w:rsidRDefault="00FC43A3" w:rsidP="00AA1C73">
      <w:pPr>
        <w:pStyle w:val="Tekstpodstawowy3"/>
        <w:rPr>
          <w:b w:val="0"/>
        </w:rPr>
      </w:pPr>
    </w:p>
    <w:p w14:paraId="5468AD67" w14:textId="77777777" w:rsidR="00FC43A3" w:rsidRPr="002F493E" w:rsidRDefault="00FC43A3" w:rsidP="00FC43A3">
      <w:pPr>
        <w:pStyle w:val="Akapitzlist"/>
        <w:numPr>
          <w:ilvl w:val="0"/>
          <w:numId w:val="14"/>
        </w:numPr>
        <w:spacing w:before="120" w:after="120"/>
        <w:ind w:right="-108"/>
        <w:rPr>
          <w:sz w:val="24"/>
        </w:rPr>
      </w:pPr>
      <w:r w:rsidRPr="002F493E">
        <w:rPr>
          <w:sz w:val="24"/>
        </w:rPr>
        <w:t xml:space="preserve">W ramach kosztów kwalifikowanych zadania sfinansować można działania niezbędne w celu jego realizacji. Przez </w:t>
      </w:r>
      <w:r w:rsidRPr="002F493E">
        <w:rPr>
          <w:b/>
          <w:bCs/>
          <w:sz w:val="24"/>
        </w:rPr>
        <w:t>koszty kwalifikowane rozumie się</w:t>
      </w:r>
      <w:r w:rsidRPr="002F493E">
        <w:rPr>
          <w:sz w:val="24"/>
        </w:rPr>
        <w:t xml:space="preserve">: niezbędne, zaplanowane w budżecie oraz celowe wydatki poniesione przez podmiot w trakcie realizacji zadania, zapisane w jego księgach zgodnie z zasadami księgowości (możliwe do zidentyfikowania, zweryfikowania i poparte dokumentami – umowami, fakturami, itp.). Są nimi np.: </w:t>
      </w:r>
    </w:p>
    <w:p w14:paraId="4ED11897" w14:textId="34F507EF" w:rsidR="00FC43A3" w:rsidRPr="004F0C34" w:rsidRDefault="00FC43A3" w:rsidP="00FC43A3">
      <w:pPr>
        <w:pStyle w:val="Default"/>
        <w:numPr>
          <w:ilvl w:val="0"/>
          <w:numId w:val="15"/>
        </w:numPr>
        <w:spacing w:after="120"/>
        <w:jc w:val="both"/>
      </w:pPr>
      <w:r w:rsidRPr="004F0C34">
        <w:t>koszty bezpośrednio związane z celem realizowanego zadania, uwzględnione w</w:t>
      </w:r>
      <w:r w:rsidR="00CD6EF1">
        <w:t> </w:t>
      </w:r>
      <w:r w:rsidRPr="004F0C34">
        <w:t xml:space="preserve">kosztorysie zadania i umieszczone w ofercie; </w:t>
      </w:r>
    </w:p>
    <w:p w14:paraId="46A94055" w14:textId="27BD5687" w:rsidR="00FC43A3" w:rsidRPr="004F0C34" w:rsidRDefault="00FC43A3" w:rsidP="00FC43A3">
      <w:pPr>
        <w:pStyle w:val="Default"/>
        <w:numPr>
          <w:ilvl w:val="0"/>
          <w:numId w:val="15"/>
        </w:numPr>
        <w:spacing w:after="120"/>
        <w:jc w:val="both"/>
      </w:pPr>
      <w:r w:rsidRPr="004F0C34">
        <w:t>koszty związane z obsługą i administracją realizowanego zadania, które związane są z wykonywaniem działań o charakterze administracyjnym, nadzorczym i</w:t>
      </w:r>
      <w:r w:rsidR="00CD6EF1">
        <w:t> </w:t>
      </w:r>
      <w:r w:rsidRPr="004F0C34">
        <w:t xml:space="preserve">kontrolnym, w tym obsługą finansową; </w:t>
      </w:r>
    </w:p>
    <w:p w14:paraId="6615D0CC" w14:textId="028B79B9" w:rsidR="00FC43A3" w:rsidRPr="004F0C34" w:rsidRDefault="00FC43A3" w:rsidP="00FC43A3">
      <w:pPr>
        <w:pStyle w:val="Default"/>
        <w:numPr>
          <w:ilvl w:val="0"/>
          <w:numId w:val="15"/>
        </w:numPr>
        <w:spacing w:after="120"/>
        <w:jc w:val="both"/>
      </w:pPr>
      <w:r w:rsidRPr="004F0C34">
        <w:t>koszty spełniające wymogi przygotowania i przeprowadzenia postępowania o</w:t>
      </w:r>
      <w:r w:rsidR="00CD6EF1">
        <w:t> </w:t>
      </w:r>
      <w:r w:rsidRPr="004F0C34">
        <w:t xml:space="preserve">udzielenie zamówienia w sposób zapewniający zachowanie uczciwej konkurencji i równe traktowanie wykonawców; </w:t>
      </w:r>
    </w:p>
    <w:p w14:paraId="6DF80CBB" w14:textId="77777777" w:rsidR="00FC43A3" w:rsidRPr="004F0C34" w:rsidRDefault="00FC43A3" w:rsidP="00FC43A3">
      <w:pPr>
        <w:pStyle w:val="Default"/>
        <w:numPr>
          <w:ilvl w:val="0"/>
          <w:numId w:val="15"/>
        </w:numPr>
        <w:spacing w:after="120"/>
        <w:jc w:val="both"/>
      </w:pPr>
      <w:r w:rsidRPr="004F0C34">
        <w:t xml:space="preserve">koszty faktycznie ponoszone za okres, którego dotyczy umowa; </w:t>
      </w:r>
    </w:p>
    <w:p w14:paraId="600D4DFB" w14:textId="77777777" w:rsidR="00FC43A3" w:rsidRPr="004F0C34" w:rsidRDefault="00FC43A3" w:rsidP="00FC43A3">
      <w:pPr>
        <w:pStyle w:val="Default"/>
        <w:numPr>
          <w:ilvl w:val="0"/>
          <w:numId w:val="15"/>
        </w:numPr>
        <w:spacing w:after="120"/>
        <w:jc w:val="both"/>
      </w:pPr>
      <w:r w:rsidRPr="004F0C34">
        <w:t xml:space="preserve">koszty wkładu osobowego rozumianego jako nieodpłatna praca wolontariuszy lub członków danego podmiotu; </w:t>
      </w:r>
    </w:p>
    <w:p w14:paraId="79756D52" w14:textId="77777777" w:rsidR="00FC43A3" w:rsidRPr="004F0C34" w:rsidRDefault="00FC43A3" w:rsidP="00FC43A3">
      <w:pPr>
        <w:pStyle w:val="Default"/>
        <w:numPr>
          <w:ilvl w:val="0"/>
          <w:numId w:val="15"/>
        </w:numPr>
        <w:spacing w:after="120"/>
        <w:jc w:val="both"/>
      </w:pPr>
      <w:r w:rsidRPr="004F0C34">
        <w:t xml:space="preserve">koszty udokumentowane i wykazane w ewidencji finansowej; </w:t>
      </w:r>
    </w:p>
    <w:p w14:paraId="28EFEC82" w14:textId="77777777" w:rsidR="00FC43A3" w:rsidRPr="004F0C34" w:rsidRDefault="00FC43A3" w:rsidP="00FC43A3">
      <w:pPr>
        <w:pStyle w:val="Default"/>
        <w:numPr>
          <w:ilvl w:val="0"/>
          <w:numId w:val="15"/>
        </w:numPr>
        <w:spacing w:after="120"/>
        <w:jc w:val="both"/>
      </w:pPr>
      <w:r w:rsidRPr="004F0C34">
        <w:t xml:space="preserve">inne koszty, w tym koszty publikacji i promocji. </w:t>
      </w:r>
    </w:p>
    <w:p w14:paraId="17510BAC" w14:textId="77777777" w:rsidR="00FC43A3" w:rsidRPr="004F0C34" w:rsidRDefault="00FC43A3" w:rsidP="00FC43A3">
      <w:pPr>
        <w:pStyle w:val="Default"/>
        <w:numPr>
          <w:ilvl w:val="0"/>
          <w:numId w:val="14"/>
        </w:numPr>
        <w:spacing w:before="120" w:after="120"/>
        <w:jc w:val="both"/>
      </w:pPr>
      <w:r w:rsidRPr="004F0C34">
        <w:rPr>
          <w:b/>
          <w:bCs/>
        </w:rPr>
        <w:t>Wydatki niekwalifikowane to</w:t>
      </w:r>
      <w:r w:rsidRPr="004F0C34">
        <w:t xml:space="preserve">: </w:t>
      </w:r>
    </w:p>
    <w:p w14:paraId="1B399429" w14:textId="77777777" w:rsidR="00FC43A3" w:rsidRDefault="00FC43A3" w:rsidP="00FC43A3">
      <w:pPr>
        <w:pStyle w:val="Default"/>
        <w:numPr>
          <w:ilvl w:val="1"/>
          <w:numId w:val="14"/>
        </w:numPr>
        <w:spacing w:after="120"/>
        <w:jc w:val="both"/>
      </w:pPr>
      <w:r w:rsidRPr="004F0C34">
        <w:t>koszty niezwiązane z zadaniem</w:t>
      </w:r>
      <w:r>
        <w:t>;</w:t>
      </w:r>
    </w:p>
    <w:p w14:paraId="0AF5B819" w14:textId="77777777" w:rsidR="00FC43A3" w:rsidRPr="004F0C34" w:rsidRDefault="00FC43A3" w:rsidP="00FC43A3">
      <w:pPr>
        <w:pStyle w:val="Default"/>
        <w:numPr>
          <w:ilvl w:val="1"/>
          <w:numId w:val="14"/>
        </w:numPr>
        <w:spacing w:after="120"/>
        <w:jc w:val="both"/>
      </w:pPr>
      <w:r w:rsidRPr="004F0C34">
        <w:t>koszty pokryte przez inne podmioty dofinansowujące to samo zadanie (zakaz tzw. podwójnego finansowania wydatku tj. zrefundowanie całkowicie lub częściowo danego wydatku więcej niż</w:t>
      </w:r>
      <w:r>
        <w:t> </w:t>
      </w:r>
      <w:r w:rsidRPr="004F0C34">
        <w:t xml:space="preserve">raz); </w:t>
      </w:r>
    </w:p>
    <w:p w14:paraId="0FA44A56" w14:textId="77777777" w:rsidR="00FC43A3" w:rsidRPr="004F0C34" w:rsidRDefault="00FC43A3" w:rsidP="00FC43A3">
      <w:pPr>
        <w:pStyle w:val="Default"/>
        <w:numPr>
          <w:ilvl w:val="1"/>
          <w:numId w:val="14"/>
        </w:numPr>
        <w:spacing w:after="120"/>
        <w:jc w:val="both"/>
      </w:pPr>
      <w:r w:rsidRPr="004F0C34">
        <w:t xml:space="preserve">fundusze rezerwowe (oszczędności na rzecz strat i możliwych przyszłych długów), długi, odsetki od długów, długi nieściągalne, odsetki i kary; </w:t>
      </w:r>
    </w:p>
    <w:p w14:paraId="2CC48203" w14:textId="77777777" w:rsidR="00FC43A3" w:rsidRPr="004F0C34" w:rsidRDefault="00FC43A3" w:rsidP="00FC43A3">
      <w:pPr>
        <w:pStyle w:val="Default"/>
        <w:numPr>
          <w:ilvl w:val="1"/>
          <w:numId w:val="14"/>
        </w:numPr>
        <w:spacing w:after="120"/>
        <w:jc w:val="both"/>
      </w:pPr>
      <w:r w:rsidRPr="004F0C34">
        <w:t xml:space="preserve">produkcja materiałów i publikacji dla celów komercyjnych; </w:t>
      </w:r>
    </w:p>
    <w:p w14:paraId="09BC6C7C" w14:textId="77777777" w:rsidR="00FC43A3" w:rsidRPr="007B59EE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zakup nieruchomości; </w:t>
      </w:r>
    </w:p>
    <w:p w14:paraId="1C9A77CA" w14:textId="4E69A84B" w:rsidR="00FC43A3" w:rsidRPr="007B59EE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color w:val="auto"/>
        </w:rPr>
      </w:pPr>
      <w:r w:rsidRPr="007B59EE">
        <w:rPr>
          <w:color w:val="auto"/>
        </w:rPr>
        <w:t xml:space="preserve">koszty zakupu środków trwałych w rozumieniu przepisów ustawy o rachunkowości (art. 3 ust. 1 pkt 15 ustawy z dnia 29 września 1994 r. o rachunkowości </w:t>
      </w:r>
      <w:r w:rsidRPr="007B59EE">
        <w:rPr>
          <w:b/>
          <w:bCs/>
          <w:color w:val="auto"/>
          <w:sz w:val="20"/>
          <w:szCs w:val="20"/>
        </w:rPr>
        <w:t>(</w:t>
      </w:r>
      <w:r w:rsidRPr="00340173">
        <w:rPr>
          <w:bCs/>
          <w:color w:val="auto"/>
        </w:rPr>
        <w:t>D</w:t>
      </w:r>
      <w:r w:rsidRPr="00340173">
        <w:rPr>
          <w:color w:val="auto"/>
        </w:rPr>
        <w:t>z</w:t>
      </w:r>
      <w:r w:rsidRPr="007B59EE">
        <w:rPr>
          <w:color w:val="auto"/>
        </w:rPr>
        <w:t xml:space="preserve">. U. </w:t>
      </w:r>
      <w:r w:rsidR="00451562">
        <w:rPr>
          <w:color w:val="auto"/>
        </w:rPr>
        <w:br/>
      </w:r>
      <w:r w:rsidRPr="007B59EE">
        <w:rPr>
          <w:color w:val="auto"/>
        </w:rPr>
        <w:t>z 20</w:t>
      </w:r>
      <w:r w:rsidR="00FD2031">
        <w:rPr>
          <w:color w:val="auto"/>
        </w:rPr>
        <w:t>21</w:t>
      </w:r>
      <w:r w:rsidRPr="007B59EE">
        <w:rPr>
          <w:color w:val="auto"/>
        </w:rPr>
        <w:t xml:space="preserve"> r. poz. </w:t>
      </w:r>
      <w:r w:rsidR="00FD2031">
        <w:rPr>
          <w:color w:val="auto"/>
        </w:rPr>
        <w:t xml:space="preserve">217 </w:t>
      </w:r>
      <w:r>
        <w:rPr>
          <w:color w:val="auto"/>
        </w:rPr>
        <w:t>z późn. zm.</w:t>
      </w:r>
      <w:r w:rsidRPr="007B59EE">
        <w:rPr>
          <w:color w:val="auto"/>
        </w:rPr>
        <w:t>) o</w:t>
      </w:r>
      <w:r>
        <w:rPr>
          <w:color w:val="auto"/>
        </w:rPr>
        <w:t> </w:t>
      </w:r>
      <w:r w:rsidRPr="007B59EE">
        <w:rPr>
          <w:color w:val="auto"/>
        </w:rPr>
        <w:t>wartości początkowej przekraczającej w myśl przepisów podatkowych</w:t>
      </w:r>
      <w:r w:rsidRPr="007B59EE">
        <w:rPr>
          <w:color w:val="auto"/>
          <w:vertAlign w:val="superscript"/>
        </w:rPr>
        <w:t xml:space="preserve"> </w:t>
      </w:r>
      <w:r w:rsidRPr="007B59EE">
        <w:rPr>
          <w:color w:val="auto"/>
        </w:rPr>
        <w:t>kwotę, powyżej której należy dokonywać odpisów amortyzacyjnych (art. 16d ust. 1 ustawy z dnia 15 lutego 1992 r. o</w:t>
      </w:r>
      <w:r>
        <w:rPr>
          <w:color w:val="auto"/>
        </w:rPr>
        <w:t> </w:t>
      </w:r>
      <w:r w:rsidRPr="007B59EE">
        <w:rPr>
          <w:color w:val="auto"/>
        </w:rPr>
        <w:t xml:space="preserve">podatku dochodowym od osób prawnych </w:t>
      </w:r>
      <w:r>
        <w:rPr>
          <w:color w:val="auto"/>
        </w:rPr>
        <w:t>(Dz. U. z  20</w:t>
      </w:r>
      <w:r w:rsidR="00451562">
        <w:rPr>
          <w:color w:val="auto"/>
        </w:rPr>
        <w:t>21</w:t>
      </w:r>
      <w:r>
        <w:rPr>
          <w:color w:val="auto"/>
        </w:rPr>
        <w:t xml:space="preserve"> r. poz. </w:t>
      </w:r>
      <w:r w:rsidR="00451562">
        <w:rPr>
          <w:color w:val="auto"/>
        </w:rPr>
        <w:t>1800</w:t>
      </w:r>
      <w:r>
        <w:rPr>
          <w:color w:val="auto"/>
        </w:rPr>
        <w:t xml:space="preserve"> z późn. zm.) </w:t>
      </w:r>
      <w:r w:rsidRPr="007B59EE">
        <w:rPr>
          <w:color w:val="auto"/>
        </w:rPr>
        <w:t xml:space="preserve">oraz art. </w:t>
      </w:r>
      <w:r w:rsidRPr="007B59EE">
        <w:rPr>
          <w:color w:val="auto"/>
        </w:rPr>
        <w:lastRenderedPageBreak/>
        <w:t>22d ust. 1 ustawy z dnia 26 lipca 1991 r. o podatku dochodowym od osób fizycznych</w:t>
      </w:r>
      <w:r>
        <w:rPr>
          <w:color w:val="auto"/>
        </w:rPr>
        <w:t xml:space="preserve"> (Dz. U. z 20</w:t>
      </w:r>
      <w:r w:rsidR="003F1382">
        <w:rPr>
          <w:color w:val="auto"/>
        </w:rPr>
        <w:t xml:space="preserve">21 </w:t>
      </w:r>
      <w:r>
        <w:rPr>
          <w:color w:val="auto"/>
        </w:rPr>
        <w:t>r. poz. 1</w:t>
      </w:r>
      <w:r w:rsidR="003F1382">
        <w:rPr>
          <w:color w:val="auto"/>
        </w:rPr>
        <w:t>128</w:t>
      </w:r>
      <w:r>
        <w:rPr>
          <w:color w:val="auto"/>
        </w:rPr>
        <w:t xml:space="preserve"> z późn. zm.</w:t>
      </w:r>
      <w:r w:rsidRPr="007B59EE">
        <w:rPr>
          <w:color w:val="auto"/>
        </w:rPr>
        <w:t>);</w:t>
      </w:r>
    </w:p>
    <w:p w14:paraId="6CF23056" w14:textId="77777777" w:rsidR="00FC43A3" w:rsidRPr="00FC43A3" w:rsidRDefault="00FC43A3" w:rsidP="00FC43A3">
      <w:pPr>
        <w:pStyle w:val="Akapitzlist"/>
        <w:numPr>
          <w:ilvl w:val="1"/>
          <w:numId w:val="14"/>
        </w:numPr>
        <w:spacing w:before="120" w:after="120"/>
        <w:rPr>
          <w:rStyle w:val="Hipercze"/>
          <w:color w:val="auto"/>
          <w:sz w:val="24"/>
          <w:u w:val="none"/>
        </w:rPr>
      </w:pPr>
      <w:r w:rsidRPr="00FC43A3">
        <w:rPr>
          <w:bCs/>
          <w:sz w:val="24"/>
        </w:rPr>
        <w:t xml:space="preserve">podatek </w:t>
      </w:r>
      <w:r w:rsidRPr="00FC43A3">
        <w:rPr>
          <w:rStyle w:val="Hipercze"/>
          <w:color w:val="auto"/>
          <w:sz w:val="24"/>
          <w:u w:val="none"/>
        </w:rPr>
        <w:t>od towarów i usług (VAT) w wysokości, w której podatnikowi przysługuje prawo do jego odzyskania lub rozliczenia w deklaracjach składanych do Urzędu Skarbowego, przy czym:</w:t>
      </w:r>
    </w:p>
    <w:p w14:paraId="223536AD" w14:textId="77777777" w:rsidR="00FC43A3" w:rsidRPr="00FC43A3" w:rsidRDefault="00FC43A3" w:rsidP="00FC43A3">
      <w:pPr>
        <w:pStyle w:val="Akapitzlist"/>
        <w:numPr>
          <w:ilvl w:val="2"/>
          <w:numId w:val="14"/>
        </w:numPr>
        <w:spacing w:before="120" w:after="120"/>
        <w:rPr>
          <w:rStyle w:val="Hipercze"/>
          <w:color w:val="auto"/>
          <w:sz w:val="24"/>
          <w:u w:val="none"/>
        </w:rPr>
      </w:pPr>
      <w:r w:rsidRPr="00FC43A3">
        <w:rPr>
          <w:rStyle w:val="Hipercze"/>
          <w:color w:val="auto"/>
          <w:sz w:val="24"/>
          <w:u w:val="none"/>
        </w:rPr>
        <w:t>oferenci, którzy nie mają prawnej możliwości odzyskania lub rozliczenia podatku VAT od towarów i usług związanych z realizacją zadania (dla których podatek VAT jest kosztem) – sporządzają kosztorysy w kwotach brutto (łącznie z podatkiem VAT);</w:t>
      </w:r>
    </w:p>
    <w:p w14:paraId="6E7F3FD2" w14:textId="77777777" w:rsidR="00FC43A3" w:rsidRPr="00FC43A3" w:rsidRDefault="00FC43A3" w:rsidP="00FC43A3">
      <w:pPr>
        <w:pStyle w:val="Akapitzlist"/>
        <w:numPr>
          <w:ilvl w:val="2"/>
          <w:numId w:val="14"/>
        </w:numPr>
        <w:spacing w:before="120" w:after="120"/>
        <w:rPr>
          <w:rStyle w:val="Hipercze"/>
          <w:color w:val="auto"/>
          <w:sz w:val="24"/>
          <w:u w:val="none"/>
        </w:rPr>
      </w:pPr>
      <w:r w:rsidRPr="00FC43A3">
        <w:rPr>
          <w:rStyle w:val="Hipercze"/>
          <w:color w:val="auto"/>
          <w:sz w:val="24"/>
          <w:u w:val="none"/>
        </w:rPr>
        <w:t>oferenci, którzy mają możliwość odzyskania lub rozliczenia podatku VAT od towarów i usług związanych z realizacją zadania (w całości lub w części) – sporządzają kosztorysy w kwotach netto (tj. nie uwzględniają w nich kwot podatku VAT, które będą podlegały odzyskaniu lub rozliczeniu).</w:t>
      </w:r>
    </w:p>
    <w:p w14:paraId="22C0453D" w14:textId="77777777" w:rsidR="00FC43A3" w:rsidRPr="002F493E" w:rsidRDefault="00FC43A3" w:rsidP="00FC43A3">
      <w:pPr>
        <w:pStyle w:val="Akapitzlist"/>
        <w:numPr>
          <w:ilvl w:val="1"/>
          <w:numId w:val="14"/>
        </w:numPr>
        <w:spacing w:before="120" w:after="120"/>
        <w:rPr>
          <w:sz w:val="24"/>
        </w:rPr>
      </w:pPr>
      <w:r w:rsidRPr="002F493E">
        <w:rPr>
          <w:sz w:val="24"/>
        </w:rPr>
        <w:t>koszty związane z umową leasingu, nie będące częścią raty leasingowej związanej ze spłatą kapitału leasingowanych aktywów, w tym w szczególności: marża finansującego, odsetki od</w:t>
      </w:r>
      <w:r>
        <w:rPr>
          <w:sz w:val="24"/>
        </w:rPr>
        <w:t> </w:t>
      </w:r>
      <w:r w:rsidRPr="002F493E">
        <w:rPr>
          <w:sz w:val="24"/>
        </w:rPr>
        <w:t xml:space="preserve">refinansowania wydatków, opłaty ubezpieczeniowe, pozostałe wydatki; </w:t>
      </w:r>
    </w:p>
    <w:p w14:paraId="452D0901" w14:textId="77777777" w:rsidR="00FC43A3" w:rsidRPr="00FC43A3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 w:rsidRPr="00FC43A3">
        <w:rPr>
          <w:rStyle w:val="Hipercze"/>
          <w:color w:val="auto"/>
          <w:u w:val="none"/>
        </w:rPr>
        <w:t>finansowanie kosztów działalności gospodarczej;</w:t>
      </w:r>
    </w:p>
    <w:p w14:paraId="6BBF4F04" w14:textId="77777777" w:rsidR="00FC43A3" w:rsidRPr="00FC43A3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 w:rsidRPr="00FC43A3">
        <w:rPr>
          <w:rStyle w:val="Hipercze"/>
          <w:color w:val="auto"/>
          <w:u w:val="none"/>
        </w:rPr>
        <w:t>działalność polityczną lub religijną;</w:t>
      </w:r>
    </w:p>
    <w:p w14:paraId="25473C9F" w14:textId="77777777" w:rsidR="00FC43A3" w:rsidRPr="00FC43A3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 w:rsidRPr="00FC43A3">
        <w:rPr>
          <w:rStyle w:val="Hipercze"/>
          <w:color w:val="auto"/>
          <w:u w:val="none"/>
        </w:rPr>
        <w:t>udzielanie pomocy finansowej osobom fizycznym i prawnym;</w:t>
      </w:r>
    </w:p>
    <w:p w14:paraId="38ED7674" w14:textId="77777777" w:rsidR="00FC43A3" w:rsidRPr="00FC43A3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 w:rsidRPr="00FC43A3">
        <w:rPr>
          <w:rStyle w:val="Hipercze"/>
          <w:color w:val="auto"/>
          <w:u w:val="none"/>
        </w:rPr>
        <w:t>tworzenie funduszy kapitałowych;</w:t>
      </w:r>
    </w:p>
    <w:p w14:paraId="08E6200D" w14:textId="77777777" w:rsidR="00FC43A3" w:rsidRPr="00FC43A3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 w:rsidRPr="00FC43A3">
        <w:rPr>
          <w:rStyle w:val="Hipercze"/>
          <w:color w:val="auto"/>
          <w:u w:val="none"/>
        </w:rPr>
        <w:t>zadania, które mają na celu prowadzenie badań naukowych, analiz, studiów;</w:t>
      </w:r>
    </w:p>
    <w:p w14:paraId="7F685960" w14:textId="77777777" w:rsidR="00FC43A3" w:rsidRPr="00FC43A3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 w:rsidRPr="00FC43A3">
        <w:rPr>
          <w:rStyle w:val="Hipercze"/>
          <w:color w:val="auto"/>
          <w:u w:val="none"/>
        </w:rPr>
        <w:t>pokrycie straty i refundacja kosztów zrealizowanych wcześniej przedsięwzięć;</w:t>
      </w:r>
    </w:p>
    <w:p w14:paraId="6139C317" w14:textId="77777777" w:rsidR="00FC43A3" w:rsidRPr="00FC43A3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 w:rsidRPr="00FC43A3">
        <w:rPr>
          <w:rStyle w:val="Hipercze"/>
          <w:color w:val="auto"/>
          <w:u w:val="none"/>
        </w:rPr>
        <w:t>pokrywanie kosztów, które wiążą się z bieżącą działalnością oferenta, np. zakup pieczątek lub wyrabianie szyldów;</w:t>
      </w:r>
    </w:p>
    <w:p w14:paraId="7FFE3613" w14:textId="77777777" w:rsidR="00FC43A3" w:rsidRPr="00FC43A3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 w:rsidRPr="00FC43A3">
        <w:rPr>
          <w:rStyle w:val="Hipercze"/>
          <w:color w:val="auto"/>
          <w:u w:val="none"/>
        </w:rPr>
        <w:t>nabywanie kwalifikacji służących realizacji zadania;</w:t>
      </w:r>
    </w:p>
    <w:p w14:paraId="566D663F" w14:textId="77777777" w:rsidR="00FC43A3" w:rsidRPr="00FC43A3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 w:rsidRPr="00FC43A3">
        <w:rPr>
          <w:rStyle w:val="Hipercze"/>
          <w:color w:val="auto"/>
          <w:u w:val="none"/>
        </w:rPr>
        <w:t>koszty, które nie zostaną potwierdzone dokumentem księgowym  zgodnie z pkt. 5;</w:t>
      </w:r>
    </w:p>
    <w:p w14:paraId="47A23805" w14:textId="77777777" w:rsidR="00EE1C86" w:rsidRDefault="00FC43A3" w:rsidP="00FC43A3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 w:rsidRPr="00FC43A3">
        <w:rPr>
          <w:rStyle w:val="Hipercze"/>
          <w:color w:val="auto"/>
          <w:u w:val="none"/>
        </w:rPr>
        <w:t>koszty procesów sądowych</w:t>
      </w:r>
    </w:p>
    <w:p w14:paraId="3DF855BB" w14:textId="7722B923" w:rsidR="00FC43A3" w:rsidRPr="00FC43A3" w:rsidRDefault="00EE1C86" w:rsidP="00FC43A3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zakup nagród</w:t>
      </w:r>
      <w:r w:rsidR="00FC43A3" w:rsidRPr="00FC43A3">
        <w:rPr>
          <w:rStyle w:val="Hipercze"/>
          <w:color w:val="auto"/>
          <w:u w:val="none"/>
        </w:rPr>
        <w:t xml:space="preserve">.   </w:t>
      </w:r>
    </w:p>
    <w:p w14:paraId="7AFDAE69" w14:textId="09328F31" w:rsidR="00FC43A3" w:rsidRPr="003F6A21" w:rsidRDefault="00FC43A3" w:rsidP="00FC43A3">
      <w:pPr>
        <w:pStyle w:val="Default"/>
        <w:numPr>
          <w:ilvl w:val="0"/>
          <w:numId w:val="14"/>
        </w:numPr>
        <w:spacing w:before="120" w:after="120"/>
        <w:jc w:val="both"/>
        <w:rPr>
          <w:color w:val="auto"/>
        </w:rPr>
      </w:pPr>
      <w:r w:rsidRPr="00FC43A3">
        <w:rPr>
          <w:color w:val="auto"/>
        </w:rPr>
        <w:t>Szczegółowa kalkulacja przewidywanych</w:t>
      </w:r>
      <w:r>
        <w:rPr>
          <w:color w:val="auto"/>
        </w:rPr>
        <w:t xml:space="preserve"> kosztów realizacji</w:t>
      </w:r>
      <w:r w:rsidRPr="003F6A21">
        <w:rPr>
          <w:color w:val="auto"/>
        </w:rPr>
        <w:t xml:space="preserve"> zadania ze wskazaniem pozycji kosztów jednostkowych w poszczególnych działaniach (koszty realizacji działań</w:t>
      </w:r>
      <w:r>
        <w:rPr>
          <w:color w:val="auto"/>
        </w:rPr>
        <w:t xml:space="preserve"> i koszty administracyjne</w:t>
      </w:r>
      <w:r w:rsidRPr="003F6A21">
        <w:rPr>
          <w:color w:val="auto"/>
        </w:rPr>
        <w:t>) jest pod</w:t>
      </w:r>
      <w:r>
        <w:rPr>
          <w:color w:val="auto"/>
        </w:rPr>
        <w:t>stawą do oceny kwalifikacji</w:t>
      </w:r>
      <w:r w:rsidRPr="003F6A21">
        <w:rPr>
          <w:color w:val="auto"/>
        </w:rPr>
        <w:t xml:space="preserve"> kosztów na</w:t>
      </w:r>
      <w:r w:rsidR="00D2655F">
        <w:rPr>
          <w:color w:val="auto"/>
        </w:rPr>
        <w:t> </w:t>
      </w:r>
      <w:r w:rsidRPr="003F6A21">
        <w:rPr>
          <w:color w:val="auto"/>
        </w:rPr>
        <w:t>etapie oceny oferty.</w:t>
      </w:r>
    </w:p>
    <w:p w14:paraId="5AF653E2" w14:textId="77777777" w:rsidR="0009564F" w:rsidRDefault="0009564F" w:rsidP="009F3025">
      <w:pPr>
        <w:pStyle w:val="Default"/>
        <w:rPr>
          <w:b/>
          <w:bCs/>
          <w:color w:val="auto"/>
        </w:rPr>
      </w:pPr>
    </w:p>
    <w:p w14:paraId="36FCF39F" w14:textId="2635A1E2" w:rsidR="002A451D" w:rsidRPr="00D2655F" w:rsidRDefault="009F3025" w:rsidP="00D2655F">
      <w:pPr>
        <w:pStyle w:val="Default"/>
        <w:numPr>
          <w:ilvl w:val="0"/>
          <w:numId w:val="16"/>
        </w:numPr>
        <w:tabs>
          <w:tab w:val="left" w:pos="426"/>
        </w:tabs>
        <w:ind w:left="426" w:firstLine="0"/>
        <w:rPr>
          <w:color w:val="auto"/>
        </w:rPr>
      </w:pPr>
      <w:r w:rsidRPr="00D2655F">
        <w:rPr>
          <w:color w:val="auto"/>
        </w:rPr>
        <w:t xml:space="preserve">Koszty </w:t>
      </w:r>
      <w:r w:rsidR="00FC43A3" w:rsidRPr="00D2655F">
        <w:rPr>
          <w:color w:val="auto"/>
        </w:rPr>
        <w:t xml:space="preserve">realizacji </w:t>
      </w:r>
      <w:r w:rsidR="00D2655F">
        <w:rPr>
          <w:color w:val="auto"/>
        </w:rPr>
        <w:t>działań</w:t>
      </w:r>
      <w:r w:rsidR="00D2655F" w:rsidRPr="00D2655F">
        <w:rPr>
          <w:color w:val="auto"/>
        </w:rPr>
        <w:t xml:space="preserve"> możliwe do uwzględnienia przy realizacji zadań </w:t>
      </w:r>
      <w:r w:rsidR="00D2655F" w:rsidRPr="00D2655F">
        <w:rPr>
          <w:color w:val="auto"/>
        </w:rPr>
        <w:tab/>
        <w:t>polegających na szkoleniu dzieci i młodzieży do 21 roku życia</w:t>
      </w:r>
      <w:r w:rsidR="00FC43A3" w:rsidRPr="00D2655F">
        <w:rPr>
          <w:color w:val="auto"/>
        </w:rPr>
        <w:t>:</w:t>
      </w:r>
    </w:p>
    <w:p w14:paraId="42DC84C2" w14:textId="77777777" w:rsidR="00CD6EF1" w:rsidRPr="00C74FBA" w:rsidRDefault="00CD6EF1" w:rsidP="00CD6EF1">
      <w:pPr>
        <w:pStyle w:val="Default"/>
        <w:ind w:left="1080"/>
        <w:rPr>
          <w:b/>
          <w:color w:val="auto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13"/>
        <w:gridCol w:w="2359"/>
        <w:gridCol w:w="1985"/>
        <w:gridCol w:w="4110"/>
      </w:tblGrid>
      <w:tr w:rsidR="000F5839" w:rsidRPr="00583526" w14:paraId="403D784C" w14:textId="77777777" w:rsidTr="00583526">
        <w:trPr>
          <w:trHeight w:val="487"/>
        </w:trPr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1AF188" w14:textId="77777777" w:rsidR="000F5839" w:rsidRPr="00583526" w:rsidRDefault="000F5839" w:rsidP="00992007">
            <w:pPr>
              <w:pStyle w:val="Default"/>
              <w:jc w:val="center"/>
              <w:rPr>
                <w:bCs/>
                <w:color w:val="auto"/>
              </w:rPr>
            </w:pPr>
            <w:r w:rsidRPr="00583526">
              <w:rPr>
                <w:bCs/>
                <w:color w:val="auto"/>
              </w:rPr>
              <w:t>Lp.</w:t>
            </w:r>
          </w:p>
        </w:tc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B0AEEC" w14:textId="77777777" w:rsidR="000F5839" w:rsidRPr="00583526" w:rsidRDefault="00A07543" w:rsidP="00992007">
            <w:pPr>
              <w:pStyle w:val="Default"/>
              <w:jc w:val="center"/>
              <w:rPr>
                <w:bCs/>
                <w:color w:val="auto"/>
              </w:rPr>
            </w:pPr>
            <w:r w:rsidRPr="00583526">
              <w:rPr>
                <w:bCs/>
                <w:color w:val="auto"/>
              </w:rPr>
              <w:t>Rodzaj kosztów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335646" w14:textId="77777777" w:rsidR="000F5839" w:rsidRPr="00583526" w:rsidRDefault="00A07543" w:rsidP="00992007">
            <w:pPr>
              <w:pStyle w:val="Default"/>
              <w:jc w:val="center"/>
              <w:rPr>
                <w:bCs/>
                <w:color w:val="auto"/>
              </w:rPr>
            </w:pPr>
            <w:r w:rsidRPr="00583526">
              <w:rPr>
                <w:bCs/>
                <w:color w:val="auto"/>
              </w:rPr>
              <w:t>Zakres zadania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817A4B" w14:textId="77777777" w:rsidR="000F5839" w:rsidRPr="00583526" w:rsidRDefault="000F5839" w:rsidP="00992007">
            <w:pPr>
              <w:pStyle w:val="Default"/>
              <w:jc w:val="center"/>
              <w:rPr>
                <w:bCs/>
                <w:color w:val="auto"/>
              </w:rPr>
            </w:pPr>
            <w:r w:rsidRPr="00583526">
              <w:rPr>
                <w:bCs/>
                <w:color w:val="auto"/>
              </w:rPr>
              <w:t>Uwagi</w:t>
            </w:r>
          </w:p>
        </w:tc>
      </w:tr>
      <w:tr w:rsidR="00FE757C" w:rsidRPr="00FE757C" w14:paraId="5B6D7461" w14:textId="77777777" w:rsidTr="00CD6EF1">
        <w:trPr>
          <w:trHeight w:val="296"/>
        </w:trPr>
        <w:tc>
          <w:tcPr>
            <w:tcW w:w="613" w:type="dxa"/>
            <w:shd w:val="clear" w:color="auto" w:fill="D9D9D9" w:themeFill="background1" w:themeFillShade="D9"/>
            <w:vAlign w:val="center"/>
          </w:tcPr>
          <w:p w14:paraId="113CC86A" w14:textId="77777777" w:rsidR="00FE757C" w:rsidRPr="00FE757C" w:rsidRDefault="00FE757C" w:rsidP="0099200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757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359" w:type="dxa"/>
            <w:shd w:val="clear" w:color="auto" w:fill="D9D9D9" w:themeFill="background1" w:themeFillShade="D9"/>
            <w:vAlign w:val="center"/>
          </w:tcPr>
          <w:p w14:paraId="63E144F3" w14:textId="77777777" w:rsidR="00FE757C" w:rsidRPr="00FE757C" w:rsidRDefault="00FE757C" w:rsidP="0099200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1F1231" w14:textId="77777777" w:rsidR="00FE757C" w:rsidRPr="00FE757C" w:rsidRDefault="00FE757C" w:rsidP="0099200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4709BB91" w14:textId="77777777" w:rsidR="00FE757C" w:rsidRPr="00FE757C" w:rsidRDefault="00FE757C" w:rsidP="0099200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4</w:t>
            </w:r>
          </w:p>
        </w:tc>
      </w:tr>
      <w:tr w:rsidR="000F5839" w:rsidRPr="00CC329F" w14:paraId="683ED143" w14:textId="77777777" w:rsidTr="00CD6EF1">
        <w:trPr>
          <w:trHeight w:val="835"/>
        </w:trPr>
        <w:tc>
          <w:tcPr>
            <w:tcW w:w="613" w:type="dxa"/>
            <w:vAlign w:val="center"/>
          </w:tcPr>
          <w:p w14:paraId="11168AC1" w14:textId="77777777" w:rsidR="000F5839" w:rsidRPr="00CC329F" w:rsidRDefault="005B5004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359" w:type="dxa"/>
            <w:vAlign w:val="center"/>
          </w:tcPr>
          <w:p w14:paraId="28D5B59A" w14:textId="77777777" w:rsidR="00A07543" w:rsidRDefault="00A07543" w:rsidP="005F7A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Transport </w:t>
            </w:r>
          </w:p>
          <w:p w14:paraId="29A4A439" w14:textId="77777777" w:rsidR="005F7AC9" w:rsidRPr="000F5839" w:rsidRDefault="00A07543" w:rsidP="005F7A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5F7AC9" w:rsidRPr="000F5839">
              <w:rPr>
                <w:color w:val="auto"/>
              </w:rPr>
              <w:t xml:space="preserve">przejazdy (pociąg, autokar, bus, </w:t>
            </w:r>
            <w:r w:rsidR="005F7AC9" w:rsidRPr="000F5839">
              <w:rPr>
                <w:color w:val="auto"/>
              </w:rPr>
              <w:lastRenderedPageBreak/>
              <w:t>samochód), dojazdy środkami komunikacji miejskiej, przejazdy drogami płatnymi i autostradami, postój w strefie płatnego parkowania itp.</w:t>
            </w:r>
          </w:p>
          <w:p w14:paraId="2C3CD8EE" w14:textId="77777777" w:rsidR="000F5839" w:rsidRPr="00710231" w:rsidRDefault="005F7AC9" w:rsidP="00710231">
            <w:pPr>
              <w:pStyle w:val="Default"/>
              <w:rPr>
                <w:color w:val="auto"/>
              </w:rPr>
            </w:pPr>
            <w:r w:rsidRPr="000F5839">
              <w:rPr>
                <w:color w:val="auto"/>
              </w:rPr>
              <w:t xml:space="preserve">Usługa transportowa - wynajem autokaru, busa. </w:t>
            </w:r>
          </w:p>
        </w:tc>
        <w:tc>
          <w:tcPr>
            <w:tcW w:w="1985" w:type="dxa"/>
            <w:vMerge w:val="restart"/>
            <w:vAlign w:val="center"/>
          </w:tcPr>
          <w:p w14:paraId="355ADB1C" w14:textId="77777777" w:rsidR="00383D15" w:rsidRDefault="00383D15" w:rsidP="00C74FBA">
            <w:pPr>
              <w:pStyle w:val="Default"/>
              <w:numPr>
                <w:ilvl w:val="0"/>
                <w:numId w:val="13"/>
              </w:numPr>
              <w:ind w:left="317" w:hanging="31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Szkolenie zawodników </w:t>
            </w:r>
            <w:r>
              <w:rPr>
                <w:color w:val="auto"/>
              </w:rPr>
              <w:lastRenderedPageBreak/>
              <w:t>do 21 roku życia.</w:t>
            </w:r>
          </w:p>
          <w:p w14:paraId="799480EF" w14:textId="77777777" w:rsidR="00383D15" w:rsidRDefault="00383D15" w:rsidP="00383D15">
            <w:pPr>
              <w:pStyle w:val="Default"/>
              <w:ind w:left="317"/>
              <w:rPr>
                <w:color w:val="auto"/>
              </w:rPr>
            </w:pPr>
          </w:p>
          <w:p w14:paraId="512340C4" w14:textId="77777777" w:rsidR="000F5839" w:rsidRDefault="000F5839" w:rsidP="00C74FBA">
            <w:pPr>
              <w:pStyle w:val="Default"/>
              <w:numPr>
                <w:ilvl w:val="0"/>
                <w:numId w:val="13"/>
              </w:numPr>
              <w:ind w:left="317" w:hanging="317"/>
              <w:rPr>
                <w:color w:val="auto"/>
              </w:rPr>
            </w:pPr>
            <w:r w:rsidRPr="00CC329F">
              <w:rPr>
                <w:color w:val="auto"/>
              </w:rPr>
              <w:t>Zgrupowania</w:t>
            </w:r>
            <w:r w:rsidR="005F7AC9">
              <w:rPr>
                <w:color w:val="auto"/>
              </w:rPr>
              <w:t>.</w:t>
            </w:r>
          </w:p>
          <w:p w14:paraId="5078876D" w14:textId="77777777" w:rsidR="000F5839" w:rsidRDefault="000F5839" w:rsidP="00C74FBA">
            <w:pPr>
              <w:pStyle w:val="Default"/>
              <w:ind w:left="317" w:hanging="317"/>
              <w:rPr>
                <w:color w:val="auto"/>
              </w:rPr>
            </w:pPr>
          </w:p>
          <w:p w14:paraId="3AF053D7" w14:textId="77777777" w:rsidR="00C74FBA" w:rsidRDefault="00A07543" w:rsidP="00C74FBA">
            <w:pPr>
              <w:pStyle w:val="Default"/>
              <w:numPr>
                <w:ilvl w:val="0"/>
                <w:numId w:val="13"/>
              </w:numPr>
              <w:ind w:left="317" w:hanging="317"/>
              <w:rPr>
                <w:color w:val="auto"/>
              </w:rPr>
            </w:pPr>
            <w:r>
              <w:rPr>
                <w:color w:val="auto"/>
              </w:rPr>
              <w:t>Uczestnictwo</w:t>
            </w:r>
            <w:r w:rsidR="000F5839" w:rsidRPr="00CC329F">
              <w:rPr>
                <w:color w:val="auto"/>
              </w:rPr>
              <w:t xml:space="preserve"> i organizacja </w:t>
            </w:r>
            <w:r w:rsidR="00C74FBA">
              <w:rPr>
                <w:color w:val="auto"/>
              </w:rPr>
              <w:br/>
            </w:r>
            <w:r w:rsidR="000F5839" w:rsidRPr="00CC329F">
              <w:rPr>
                <w:color w:val="auto"/>
              </w:rPr>
              <w:t>w zawodach krajowych</w:t>
            </w:r>
            <w:r w:rsidR="000F5839">
              <w:rPr>
                <w:color w:val="auto"/>
              </w:rPr>
              <w:t xml:space="preserve"> </w:t>
            </w:r>
          </w:p>
          <w:p w14:paraId="30CD2085" w14:textId="77777777" w:rsidR="000F5839" w:rsidRPr="00CC329F" w:rsidRDefault="005F7AC9" w:rsidP="00C74FBA">
            <w:pPr>
              <w:pStyle w:val="Default"/>
              <w:ind w:left="317"/>
              <w:rPr>
                <w:color w:val="auto"/>
              </w:rPr>
            </w:pPr>
            <w:r>
              <w:rPr>
                <w:color w:val="auto"/>
              </w:rPr>
              <w:t>w ramach </w:t>
            </w:r>
            <w:r w:rsidR="000F5839" w:rsidRPr="00CC329F">
              <w:rPr>
                <w:color w:val="auto"/>
              </w:rPr>
              <w:t>regionalnego, centralnego i międzynarodowego współzawodnictwa sportowego.</w:t>
            </w:r>
          </w:p>
        </w:tc>
        <w:tc>
          <w:tcPr>
            <w:tcW w:w="4110" w:type="dxa"/>
            <w:vMerge w:val="restart"/>
          </w:tcPr>
          <w:p w14:paraId="486557BF" w14:textId="77777777"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lastRenderedPageBreak/>
              <w:t>Wydatki powinny być udokumentowane fakturami lub rachunkami.</w:t>
            </w:r>
          </w:p>
          <w:p w14:paraId="72E41486" w14:textId="1AF99AF6"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lastRenderedPageBreak/>
              <w:t>W wyjątkowych i jednostkowych sytuacjach wydatki mogą być udokumentowane paragonami fiskalnymi. W świetle art. 21 ustawy o</w:t>
            </w:r>
            <w:r w:rsidR="00195858">
              <w:rPr>
                <w:color w:val="auto"/>
              </w:rPr>
              <w:t> </w:t>
            </w:r>
            <w:r w:rsidRPr="00CC329F">
              <w:rPr>
                <w:color w:val="auto"/>
              </w:rPr>
              <w:t>rachunkowości paragon fiskalny nie spełnia warunków dowodu księgowego ale może być dopuszczony po spełnieniu następujących wymogów:</w:t>
            </w:r>
          </w:p>
          <w:p w14:paraId="32F4463A" w14:textId="77777777"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sym w:font="Symbol" w:char="F02D"/>
            </w:r>
            <w:r w:rsidRPr="00CC329F">
              <w:rPr>
                <w:color w:val="auto"/>
              </w:rPr>
              <w:t xml:space="preserve"> określenie daty dokonania operacji gospodarczej;</w:t>
            </w:r>
          </w:p>
          <w:p w14:paraId="6036E820" w14:textId="4BE75128"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sym w:font="Symbol" w:char="F02D"/>
            </w:r>
            <w:r w:rsidRPr="00CC329F">
              <w:rPr>
                <w:color w:val="auto"/>
              </w:rPr>
              <w:t xml:space="preserve"> oznaczenie stron (nazwy, adres – pieczęć) jednostki wydającej paragon i</w:t>
            </w:r>
            <w:r w:rsidR="00195858">
              <w:rPr>
                <w:color w:val="auto"/>
              </w:rPr>
              <w:t> </w:t>
            </w:r>
            <w:r w:rsidRPr="00CC329F">
              <w:rPr>
                <w:color w:val="auto"/>
              </w:rPr>
              <w:t>dokonującej zakupu</w:t>
            </w:r>
          </w:p>
          <w:p w14:paraId="3573F149" w14:textId="77777777"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sym w:font="Symbol" w:char="F02D"/>
            </w:r>
            <w:r w:rsidRPr="00CC329F">
              <w:rPr>
                <w:color w:val="auto"/>
              </w:rPr>
              <w:t xml:space="preserve"> opis operacji, określenie ilości i ceny jednostkowej oraz kwoty zakupu.</w:t>
            </w:r>
          </w:p>
          <w:p w14:paraId="3BFC594F" w14:textId="0A6C6AD4"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Zwrot kosztów przejazdu powinien być udokumentowany biletami, rachunkami lub fakturami publicznego transportu zbiorowego (w klasie II/ekonomicznej z</w:t>
            </w:r>
            <w:r w:rsidR="00195858">
              <w:rPr>
                <w:color w:val="auto"/>
              </w:rPr>
              <w:t> </w:t>
            </w:r>
            <w:r w:rsidRPr="00CC329F">
              <w:rPr>
                <w:color w:val="auto"/>
              </w:rPr>
              <w:t>uwzględnieniem ulgi przysługującej delegowanemu), zgodnie z rozporządzeniem Ministra Pracy i</w:t>
            </w:r>
            <w:r w:rsidR="00195858">
              <w:rPr>
                <w:color w:val="auto"/>
              </w:rPr>
              <w:t> </w:t>
            </w:r>
            <w:r w:rsidRPr="00CC329F">
              <w:rPr>
                <w:color w:val="auto"/>
              </w:rPr>
              <w:t>Polityki Społecznej z dnia 29 stycznia 2013 r. w sprawie należności przysługujących pracownikowi zatrudnionemu w państwowej lub samorządowej jednostce sfery budżetowej z tytułu podróży służbowej (Dz. U. z 2013 r. poz. 167).</w:t>
            </w:r>
          </w:p>
          <w:p w14:paraId="5AFAF2BB" w14:textId="617E9C34" w:rsidR="000F583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Dopuszcza się zwrot kosztów podróży</w:t>
            </w:r>
            <w:r>
              <w:rPr>
                <w:color w:val="auto"/>
              </w:rPr>
              <w:t xml:space="preserve"> </w:t>
            </w:r>
            <w:r w:rsidRPr="00CC329F">
              <w:rPr>
                <w:color w:val="auto"/>
              </w:rPr>
              <w:t>uczestników zadania samochodem prywatnym na zasadach rozliczania kosztów podróży krajowych i</w:t>
            </w:r>
            <w:r w:rsidR="00195858">
              <w:rPr>
                <w:color w:val="auto"/>
              </w:rPr>
              <w:t> </w:t>
            </w:r>
            <w:r w:rsidRPr="00CC329F">
              <w:rPr>
                <w:color w:val="auto"/>
              </w:rPr>
              <w:t>zagranicznych do wysokości określonych w ww. rozporządzeniu.</w:t>
            </w:r>
          </w:p>
        </w:tc>
      </w:tr>
      <w:tr w:rsidR="005B5004" w:rsidRPr="00CC329F" w14:paraId="2E304BF4" w14:textId="77777777" w:rsidTr="00CD6EF1">
        <w:trPr>
          <w:trHeight w:val="644"/>
        </w:trPr>
        <w:tc>
          <w:tcPr>
            <w:tcW w:w="613" w:type="dxa"/>
            <w:vAlign w:val="center"/>
          </w:tcPr>
          <w:p w14:paraId="4CEEF5AB" w14:textId="77777777" w:rsidR="005B5004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2.</w:t>
            </w:r>
          </w:p>
        </w:tc>
        <w:tc>
          <w:tcPr>
            <w:tcW w:w="2359" w:type="dxa"/>
            <w:vAlign w:val="center"/>
          </w:tcPr>
          <w:p w14:paraId="06538468" w14:textId="77777777" w:rsidR="005B5004" w:rsidRPr="005B5004" w:rsidRDefault="005B5004" w:rsidP="005B5004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Wyżywien</w:t>
            </w:r>
            <w:r>
              <w:rPr>
                <w:color w:val="auto"/>
              </w:rPr>
              <w:t xml:space="preserve">ie indywidualne i zorganizowane w tym napoje </w:t>
            </w:r>
          </w:p>
        </w:tc>
        <w:tc>
          <w:tcPr>
            <w:tcW w:w="1985" w:type="dxa"/>
            <w:vMerge/>
            <w:vAlign w:val="center"/>
          </w:tcPr>
          <w:p w14:paraId="4D0B30BE" w14:textId="77777777"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4110" w:type="dxa"/>
            <w:vMerge/>
          </w:tcPr>
          <w:p w14:paraId="4159D43F" w14:textId="77777777"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14:paraId="5F89C3A9" w14:textId="77777777" w:rsidTr="00CD6EF1">
        <w:trPr>
          <w:trHeight w:val="518"/>
        </w:trPr>
        <w:tc>
          <w:tcPr>
            <w:tcW w:w="613" w:type="dxa"/>
            <w:vAlign w:val="center"/>
          </w:tcPr>
          <w:p w14:paraId="0DDEAC08" w14:textId="77777777" w:rsidR="005B5004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359" w:type="dxa"/>
            <w:vAlign w:val="center"/>
          </w:tcPr>
          <w:p w14:paraId="327A60F6" w14:textId="77777777" w:rsidR="005B5004" w:rsidRPr="00CC329F" w:rsidRDefault="005B5004" w:rsidP="005B5004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Zakwaterowanie</w:t>
            </w:r>
          </w:p>
        </w:tc>
        <w:tc>
          <w:tcPr>
            <w:tcW w:w="1985" w:type="dxa"/>
            <w:vMerge/>
            <w:vAlign w:val="center"/>
          </w:tcPr>
          <w:p w14:paraId="1BE67DBC" w14:textId="77777777"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4110" w:type="dxa"/>
            <w:vMerge/>
          </w:tcPr>
          <w:p w14:paraId="747249E5" w14:textId="77777777"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14:paraId="39D31D45" w14:textId="77777777" w:rsidTr="00CD6EF1">
        <w:trPr>
          <w:trHeight w:val="554"/>
        </w:trPr>
        <w:tc>
          <w:tcPr>
            <w:tcW w:w="613" w:type="dxa"/>
            <w:vAlign w:val="center"/>
          </w:tcPr>
          <w:p w14:paraId="432412C5" w14:textId="77777777"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5B5004">
              <w:rPr>
                <w:color w:val="auto"/>
              </w:rPr>
              <w:t>.</w:t>
            </w:r>
          </w:p>
        </w:tc>
        <w:tc>
          <w:tcPr>
            <w:tcW w:w="2359" w:type="dxa"/>
            <w:vAlign w:val="center"/>
          </w:tcPr>
          <w:p w14:paraId="59F0EA61" w14:textId="77777777" w:rsidR="005B5004" w:rsidRPr="00CC329F" w:rsidRDefault="005B5004" w:rsidP="005B500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Wynajęcie lub przygotowanie bazy sportowej</w:t>
            </w:r>
          </w:p>
        </w:tc>
        <w:tc>
          <w:tcPr>
            <w:tcW w:w="1985" w:type="dxa"/>
            <w:vMerge/>
            <w:vAlign w:val="center"/>
          </w:tcPr>
          <w:p w14:paraId="0A5C6AC7" w14:textId="77777777"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4110" w:type="dxa"/>
            <w:vMerge/>
          </w:tcPr>
          <w:p w14:paraId="1678F81D" w14:textId="77777777"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14:paraId="2BA36418" w14:textId="77777777" w:rsidTr="00CD6EF1">
        <w:trPr>
          <w:trHeight w:val="548"/>
        </w:trPr>
        <w:tc>
          <w:tcPr>
            <w:tcW w:w="613" w:type="dxa"/>
            <w:vAlign w:val="center"/>
          </w:tcPr>
          <w:p w14:paraId="7316A466" w14:textId="77777777"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5B5004">
              <w:rPr>
                <w:color w:val="auto"/>
              </w:rPr>
              <w:t>.</w:t>
            </w:r>
          </w:p>
        </w:tc>
        <w:tc>
          <w:tcPr>
            <w:tcW w:w="2359" w:type="dxa"/>
            <w:vAlign w:val="center"/>
          </w:tcPr>
          <w:p w14:paraId="46ADD012" w14:textId="77777777" w:rsidR="005B5004" w:rsidRPr="00CC329F" w:rsidRDefault="005B5004" w:rsidP="00A0754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Opieka medyczna</w:t>
            </w:r>
            <w:r w:rsidR="00A07543">
              <w:rPr>
                <w:color w:val="auto"/>
              </w:rPr>
              <w:t>/</w:t>
            </w:r>
            <w:r>
              <w:rPr>
                <w:color w:val="auto"/>
              </w:rPr>
              <w:t>badania lekarskie</w:t>
            </w:r>
          </w:p>
        </w:tc>
        <w:tc>
          <w:tcPr>
            <w:tcW w:w="1985" w:type="dxa"/>
            <w:vMerge/>
            <w:vAlign w:val="center"/>
          </w:tcPr>
          <w:p w14:paraId="1514157D" w14:textId="77777777"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4110" w:type="dxa"/>
            <w:vMerge/>
          </w:tcPr>
          <w:p w14:paraId="3E8912CF" w14:textId="77777777"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14:paraId="09364B71" w14:textId="77777777" w:rsidTr="00CD6EF1">
        <w:trPr>
          <w:trHeight w:val="478"/>
        </w:trPr>
        <w:tc>
          <w:tcPr>
            <w:tcW w:w="613" w:type="dxa"/>
            <w:vAlign w:val="center"/>
          </w:tcPr>
          <w:p w14:paraId="3643BED7" w14:textId="77777777"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5B5004">
              <w:rPr>
                <w:color w:val="auto"/>
              </w:rPr>
              <w:t>.</w:t>
            </w:r>
          </w:p>
        </w:tc>
        <w:tc>
          <w:tcPr>
            <w:tcW w:w="2359" w:type="dxa"/>
            <w:vAlign w:val="center"/>
          </w:tcPr>
          <w:p w14:paraId="5FFD1AF1" w14:textId="77777777" w:rsidR="005B5004" w:rsidRPr="00CC329F" w:rsidRDefault="005B5004" w:rsidP="00710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Opłaty startowe</w:t>
            </w:r>
          </w:p>
        </w:tc>
        <w:tc>
          <w:tcPr>
            <w:tcW w:w="1985" w:type="dxa"/>
            <w:vMerge/>
            <w:vAlign w:val="center"/>
          </w:tcPr>
          <w:p w14:paraId="0BFF6B6B" w14:textId="77777777"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4110" w:type="dxa"/>
            <w:vMerge/>
          </w:tcPr>
          <w:p w14:paraId="60C88F82" w14:textId="77777777"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14:paraId="4B8363D4" w14:textId="77777777" w:rsidTr="00CD6EF1">
        <w:trPr>
          <w:trHeight w:val="703"/>
        </w:trPr>
        <w:tc>
          <w:tcPr>
            <w:tcW w:w="613" w:type="dxa"/>
            <w:vAlign w:val="center"/>
          </w:tcPr>
          <w:p w14:paraId="02F8E008" w14:textId="77777777"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A07543">
              <w:rPr>
                <w:color w:val="auto"/>
              </w:rPr>
              <w:t>.</w:t>
            </w:r>
          </w:p>
        </w:tc>
        <w:tc>
          <w:tcPr>
            <w:tcW w:w="2359" w:type="dxa"/>
            <w:vAlign w:val="center"/>
          </w:tcPr>
          <w:p w14:paraId="20B74C4E" w14:textId="77777777" w:rsidR="005B5004" w:rsidRPr="00CC329F" w:rsidRDefault="005B5004" w:rsidP="00710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Opłaty związkowe, rejestracje, licencje, zezwolenia</w:t>
            </w:r>
          </w:p>
        </w:tc>
        <w:tc>
          <w:tcPr>
            <w:tcW w:w="1985" w:type="dxa"/>
            <w:vMerge/>
            <w:vAlign w:val="center"/>
          </w:tcPr>
          <w:p w14:paraId="32F7050F" w14:textId="77777777"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4110" w:type="dxa"/>
            <w:vMerge/>
          </w:tcPr>
          <w:p w14:paraId="4989EE2F" w14:textId="77777777"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14:paraId="19501182" w14:textId="77777777" w:rsidTr="00CD6EF1">
        <w:trPr>
          <w:trHeight w:val="2533"/>
        </w:trPr>
        <w:tc>
          <w:tcPr>
            <w:tcW w:w="613" w:type="dxa"/>
            <w:vAlign w:val="center"/>
          </w:tcPr>
          <w:p w14:paraId="0A99A54B" w14:textId="77777777" w:rsidR="005B5004" w:rsidRPr="00CC329F" w:rsidRDefault="00C45570" w:rsidP="00C4557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2359" w:type="dxa"/>
            <w:vAlign w:val="center"/>
          </w:tcPr>
          <w:p w14:paraId="4366E997" w14:textId="77777777" w:rsidR="005B5004" w:rsidRPr="00CC329F" w:rsidRDefault="005B5004" w:rsidP="00710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Opłaty sędziowskie</w:t>
            </w:r>
          </w:p>
        </w:tc>
        <w:tc>
          <w:tcPr>
            <w:tcW w:w="1985" w:type="dxa"/>
            <w:vMerge/>
            <w:vAlign w:val="center"/>
          </w:tcPr>
          <w:p w14:paraId="5E1C1A4C" w14:textId="77777777"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4110" w:type="dxa"/>
            <w:vMerge/>
          </w:tcPr>
          <w:p w14:paraId="7729CAA5" w14:textId="77777777"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A07543" w:rsidRPr="00CC329F" w14:paraId="6E4883F8" w14:textId="77777777" w:rsidTr="00CD6EF1">
        <w:trPr>
          <w:trHeight w:val="2682"/>
        </w:trPr>
        <w:tc>
          <w:tcPr>
            <w:tcW w:w="613" w:type="dxa"/>
            <w:vAlign w:val="center"/>
          </w:tcPr>
          <w:p w14:paraId="2FBC5B8E" w14:textId="77777777" w:rsidR="00A07543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A07543">
              <w:rPr>
                <w:color w:val="auto"/>
              </w:rPr>
              <w:t>.</w:t>
            </w:r>
          </w:p>
        </w:tc>
        <w:tc>
          <w:tcPr>
            <w:tcW w:w="2359" w:type="dxa"/>
            <w:vAlign w:val="center"/>
          </w:tcPr>
          <w:p w14:paraId="68111A52" w14:textId="77777777" w:rsidR="00A07543" w:rsidRPr="00CC329F" w:rsidRDefault="00A07543" w:rsidP="00A0754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Wynagrodzenie szkoleniowców</w:t>
            </w:r>
          </w:p>
        </w:tc>
        <w:tc>
          <w:tcPr>
            <w:tcW w:w="1985" w:type="dxa"/>
            <w:vAlign w:val="center"/>
          </w:tcPr>
          <w:p w14:paraId="732B9D6B" w14:textId="77777777" w:rsidR="00A07543" w:rsidRPr="00CC329F" w:rsidRDefault="00A07543" w:rsidP="00A07543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Wynagrodzenia wraz z pochodnymi dla osób biorących udział w procesie szkolenia.</w:t>
            </w:r>
          </w:p>
        </w:tc>
        <w:tc>
          <w:tcPr>
            <w:tcW w:w="4110" w:type="dxa"/>
          </w:tcPr>
          <w:p w14:paraId="6B4305B5" w14:textId="77777777" w:rsidR="00A07543" w:rsidRPr="00CC329F" w:rsidRDefault="00A07543" w:rsidP="00A07543">
            <w:pPr>
              <w:spacing w:after="120"/>
            </w:pPr>
            <w:r w:rsidRPr="00CC329F">
              <w:t>Wysokość wynagrodzenia szkoleniowca (posiadającego uprawnienia) pokrywanego z dotacji nie może przekroczyć:</w:t>
            </w:r>
          </w:p>
          <w:p w14:paraId="053EEA11" w14:textId="1485A009" w:rsidR="00A07543" w:rsidRPr="00CC329F" w:rsidRDefault="00A07543" w:rsidP="00A07543">
            <w:pPr>
              <w:numPr>
                <w:ilvl w:val="0"/>
                <w:numId w:val="4"/>
              </w:numPr>
              <w:ind w:left="318" w:hanging="284"/>
            </w:pPr>
            <w:r>
              <w:t xml:space="preserve">dla trenera do </w:t>
            </w:r>
            <w:r w:rsidR="00540353">
              <w:t>40</w:t>
            </w:r>
            <w:r>
              <w:t>,00</w:t>
            </w:r>
            <w:r w:rsidRPr="00CC329F">
              <w:t xml:space="preserve"> zł brutto za 1 godzinę</w:t>
            </w:r>
            <w:r>
              <w:t xml:space="preserve"> zegarową; </w:t>
            </w:r>
          </w:p>
          <w:p w14:paraId="59A644A6" w14:textId="435564B8" w:rsidR="00A07543" w:rsidRPr="00CC329F" w:rsidRDefault="00A07543" w:rsidP="00A07543">
            <w:pPr>
              <w:numPr>
                <w:ilvl w:val="0"/>
                <w:numId w:val="4"/>
              </w:numPr>
              <w:spacing w:after="120"/>
              <w:ind w:left="318" w:hanging="284"/>
            </w:pPr>
            <w:r w:rsidRPr="00CC329F">
              <w:t>dla instruktora 3</w:t>
            </w:r>
            <w:r w:rsidR="00540353">
              <w:t>5,00</w:t>
            </w:r>
            <w:r w:rsidRPr="00CC329F">
              <w:t xml:space="preserve"> zł brutto za 1 godzinę zegarową;</w:t>
            </w:r>
          </w:p>
          <w:p w14:paraId="716FEF9E" w14:textId="11DF1995" w:rsidR="00A07543" w:rsidRPr="00FC43A3" w:rsidRDefault="00A07543" w:rsidP="00A07543">
            <w:pPr>
              <w:pStyle w:val="Default"/>
              <w:rPr>
                <w:bCs/>
              </w:rPr>
            </w:pPr>
            <w:r w:rsidRPr="00CC329F">
              <w:rPr>
                <w:rStyle w:val="Pogrubienie"/>
                <w:b w:val="0"/>
              </w:rPr>
              <w:t>Całość wynagro</w:t>
            </w:r>
            <w:r>
              <w:rPr>
                <w:rStyle w:val="Pogrubienie"/>
                <w:b w:val="0"/>
              </w:rPr>
              <w:t>dzeń</w:t>
            </w:r>
            <w:r w:rsidR="00FC43A3">
              <w:rPr>
                <w:rStyle w:val="Pogrubienie"/>
                <w:b w:val="0"/>
              </w:rPr>
              <w:t xml:space="preserve"> pokrywanych  z dotacji</w:t>
            </w:r>
            <w:r>
              <w:rPr>
                <w:rStyle w:val="Pogrubienie"/>
                <w:b w:val="0"/>
              </w:rPr>
              <w:t xml:space="preserve"> nie może przekraczać 40 % </w:t>
            </w:r>
            <w:r w:rsidRPr="00CC329F">
              <w:rPr>
                <w:rStyle w:val="Pogrubienie"/>
                <w:b w:val="0"/>
              </w:rPr>
              <w:t>przyznanej dotacji.</w:t>
            </w:r>
          </w:p>
        </w:tc>
      </w:tr>
      <w:tr w:rsidR="00A07543" w:rsidRPr="00CC329F" w14:paraId="3421F5D0" w14:textId="77777777" w:rsidTr="00CD6EF1">
        <w:trPr>
          <w:trHeight w:val="1725"/>
        </w:trPr>
        <w:tc>
          <w:tcPr>
            <w:tcW w:w="613" w:type="dxa"/>
            <w:vAlign w:val="center"/>
          </w:tcPr>
          <w:p w14:paraId="6EFBBFCC" w14:textId="77777777" w:rsidR="00A07543" w:rsidRPr="00CC329F" w:rsidRDefault="00C45570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10</w:t>
            </w:r>
            <w:r w:rsidR="00A07543">
              <w:rPr>
                <w:color w:val="auto"/>
              </w:rPr>
              <w:t>.</w:t>
            </w:r>
          </w:p>
        </w:tc>
        <w:tc>
          <w:tcPr>
            <w:tcW w:w="2359" w:type="dxa"/>
            <w:vAlign w:val="center"/>
          </w:tcPr>
          <w:p w14:paraId="4AF9D4F1" w14:textId="77777777" w:rsidR="00A07543" w:rsidRPr="00A07543" w:rsidRDefault="00A07543" w:rsidP="006115A6">
            <w:pPr>
              <w:pStyle w:val="Default"/>
              <w:rPr>
                <w:color w:val="auto"/>
              </w:rPr>
            </w:pPr>
            <w:r w:rsidRPr="00A07543">
              <w:rPr>
                <w:color w:val="auto"/>
              </w:rPr>
              <w:t xml:space="preserve">Zakup i naprawa niezbędnego </w:t>
            </w:r>
            <w:r>
              <w:rPr>
                <w:color w:val="auto"/>
              </w:rPr>
              <w:t>sprzętu sportowego</w:t>
            </w:r>
          </w:p>
          <w:p w14:paraId="6D6B07AD" w14:textId="77777777" w:rsidR="00A07543" w:rsidRPr="00CC329F" w:rsidRDefault="00A07543" w:rsidP="006115A6">
            <w:pPr>
              <w:pStyle w:val="Default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E1267CA" w14:textId="77777777"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1. Zakup i dostawa sprzętu. </w:t>
            </w:r>
          </w:p>
          <w:p w14:paraId="6324989B" w14:textId="77777777"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2. Naprawy, przeglądy i remonty. </w:t>
            </w:r>
          </w:p>
          <w:p w14:paraId="0DFF658D" w14:textId="77777777"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3. Transport. </w:t>
            </w:r>
          </w:p>
          <w:p w14:paraId="19E793A3" w14:textId="77777777" w:rsidR="00A07543" w:rsidRPr="00CC329F" w:rsidRDefault="00A07543" w:rsidP="006A4547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4. Materiały konserwacyjne.</w:t>
            </w:r>
          </w:p>
        </w:tc>
        <w:tc>
          <w:tcPr>
            <w:tcW w:w="4110" w:type="dxa"/>
            <w:vAlign w:val="center"/>
          </w:tcPr>
          <w:p w14:paraId="64179DA5" w14:textId="77777777"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Wydatki powinny być udokumentowane fakturami lub rachunkami. </w:t>
            </w:r>
          </w:p>
          <w:p w14:paraId="79079D14" w14:textId="77777777"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Prowadzenie ewidencji dystrybucji sprzętu sportowego, zawierającej m.in. wykaz i listę zawodników potwierdzających odbiór.</w:t>
            </w:r>
          </w:p>
        </w:tc>
      </w:tr>
      <w:tr w:rsidR="00A07543" w:rsidRPr="00CC329F" w14:paraId="7A708721" w14:textId="77777777" w:rsidTr="00CD6EF1">
        <w:trPr>
          <w:trHeight w:val="425"/>
        </w:trPr>
        <w:tc>
          <w:tcPr>
            <w:tcW w:w="613" w:type="dxa"/>
            <w:vAlign w:val="center"/>
          </w:tcPr>
          <w:p w14:paraId="15DFF59F" w14:textId="77777777" w:rsidR="00A07543" w:rsidRPr="00CC329F" w:rsidRDefault="007C28C6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A07543">
              <w:rPr>
                <w:color w:val="auto"/>
              </w:rPr>
              <w:t>.</w:t>
            </w:r>
          </w:p>
        </w:tc>
        <w:tc>
          <w:tcPr>
            <w:tcW w:w="2359" w:type="dxa"/>
            <w:vAlign w:val="center"/>
          </w:tcPr>
          <w:p w14:paraId="4BDE8C0F" w14:textId="77777777" w:rsidR="00A07543" w:rsidRPr="00CC329F" w:rsidRDefault="00A07543" w:rsidP="006115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Zakup nagród (</w:t>
            </w:r>
            <w:r w:rsidR="006A4547">
              <w:rPr>
                <w:color w:val="auto"/>
              </w:rPr>
              <w:t xml:space="preserve">m.in.: sprzęt sportowy, </w:t>
            </w:r>
            <w:r>
              <w:rPr>
                <w:color w:val="auto"/>
              </w:rPr>
              <w:t>puchary, medale)</w:t>
            </w:r>
          </w:p>
        </w:tc>
        <w:tc>
          <w:tcPr>
            <w:tcW w:w="1985" w:type="dxa"/>
            <w:vAlign w:val="center"/>
          </w:tcPr>
          <w:p w14:paraId="33AFF73D" w14:textId="77777777"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1. Zakup i dostawa sprzętu. </w:t>
            </w:r>
          </w:p>
        </w:tc>
        <w:tc>
          <w:tcPr>
            <w:tcW w:w="4110" w:type="dxa"/>
            <w:vAlign w:val="center"/>
          </w:tcPr>
          <w:p w14:paraId="00ACA632" w14:textId="77777777"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Wydatki powinny być udokumentowane fakturami lub rachunkami</w:t>
            </w:r>
            <w:r>
              <w:rPr>
                <w:color w:val="auto"/>
              </w:rPr>
              <w:t xml:space="preserve">. </w:t>
            </w:r>
          </w:p>
        </w:tc>
      </w:tr>
      <w:tr w:rsidR="00A07543" w:rsidRPr="00CC329F" w14:paraId="7E90F1B3" w14:textId="77777777" w:rsidTr="00CD6EF1">
        <w:trPr>
          <w:trHeight w:val="283"/>
        </w:trPr>
        <w:tc>
          <w:tcPr>
            <w:tcW w:w="613" w:type="dxa"/>
            <w:vAlign w:val="center"/>
          </w:tcPr>
          <w:p w14:paraId="49FCFB51" w14:textId="77777777" w:rsidR="00A07543" w:rsidRPr="00CC329F" w:rsidRDefault="00A07543" w:rsidP="007C28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C28C6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</w:tc>
        <w:tc>
          <w:tcPr>
            <w:tcW w:w="2359" w:type="dxa"/>
            <w:vAlign w:val="center"/>
          </w:tcPr>
          <w:p w14:paraId="09424140" w14:textId="77777777" w:rsidR="00A07543" w:rsidRDefault="00A07543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Ubezpieczenia zawodników</w:t>
            </w:r>
            <w:r>
              <w:rPr>
                <w:color w:val="auto"/>
              </w:rPr>
              <w:t xml:space="preserve"> i </w:t>
            </w:r>
            <w:r w:rsidRPr="00CC329F">
              <w:rPr>
                <w:color w:val="auto"/>
              </w:rPr>
              <w:t>trenerów</w:t>
            </w:r>
          </w:p>
        </w:tc>
        <w:tc>
          <w:tcPr>
            <w:tcW w:w="1985" w:type="dxa"/>
            <w:vAlign w:val="center"/>
          </w:tcPr>
          <w:p w14:paraId="4DCDDA2A" w14:textId="77777777" w:rsidR="00A07543" w:rsidRPr="00CC329F" w:rsidRDefault="00A07543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Indywidualne </w:t>
            </w:r>
            <w:r w:rsidR="007D4541">
              <w:rPr>
                <w:color w:val="auto"/>
              </w:rPr>
              <w:t>i grupowe pakiety ubezpieczeń NW i OC</w:t>
            </w:r>
          </w:p>
        </w:tc>
        <w:tc>
          <w:tcPr>
            <w:tcW w:w="4110" w:type="dxa"/>
          </w:tcPr>
          <w:p w14:paraId="6D3753A6" w14:textId="70BF2C1D" w:rsidR="00A07543" w:rsidRPr="00CC329F" w:rsidRDefault="00A07543" w:rsidP="006115A6">
            <w:pPr>
              <w:spacing w:after="120"/>
            </w:pPr>
            <w:r w:rsidRPr="00CC329F">
              <w:t>Prowadzenie ewidencji ubezpieczeń od</w:t>
            </w:r>
            <w:r w:rsidR="00195858">
              <w:t> </w:t>
            </w:r>
            <w:r w:rsidRPr="00CC329F">
              <w:t>następstw nieszczęśliwych wypadków.</w:t>
            </w:r>
          </w:p>
        </w:tc>
      </w:tr>
      <w:tr w:rsidR="00A07543" w:rsidRPr="00CC329F" w14:paraId="5E8DA2C8" w14:textId="77777777" w:rsidTr="00CD6EF1">
        <w:trPr>
          <w:trHeight w:val="425"/>
        </w:trPr>
        <w:tc>
          <w:tcPr>
            <w:tcW w:w="613" w:type="dxa"/>
            <w:vAlign w:val="center"/>
          </w:tcPr>
          <w:p w14:paraId="19955D89" w14:textId="77777777" w:rsidR="00A07543" w:rsidRPr="00CC329F" w:rsidRDefault="00A07543" w:rsidP="007C28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C28C6"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</w:p>
        </w:tc>
        <w:tc>
          <w:tcPr>
            <w:tcW w:w="2359" w:type="dxa"/>
            <w:vAlign w:val="center"/>
          </w:tcPr>
          <w:p w14:paraId="12320DD7" w14:textId="77777777" w:rsidR="00A07543" w:rsidRPr="00CC329F" w:rsidRDefault="00A07543" w:rsidP="006115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Koszty działalności promocyjnej i informacyjnej</w:t>
            </w:r>
          </w:p>
        </w:tc>
        <w:tc>
          <w:tcPr>
            <w:tcW w:w="1985" w:type="dxa"/>
            <w:vAlign w:val="center"/>
          </w:tcPr>
          <w:p w14:paraId="2549A602" w14:textId="77777777" w:rsidR="00A07543" w:rsidRPr="00CC329F" w:rsidRDefault="00A07543" w:rsidP="006115A6">
            <w:pPr>
              <w:pStyle w:val="Default"/>
              <w:rPr>
                <w:color w:val="auto"/>
              </w:rPr>
            </w:pPr>
          </w:p>
        </w:tc>
        <w:tc>
          <w:tcPr>
            <w:tcW w:w="4110" w:type="dxa"/>
          </w:tcPr>
          <w:p w14:paraId="15725759" w14:textId="77777777" w:rsidR="00A07543" w:rsidRPr="00CC329F" w:rsidRDefault="00A07543" w:rsidP="006115A6">
            <w:pPr>
              <w:spacing w:after="120"/>
            </w:pPr>
            <w:r w:rsidRPr="00CC329F">
              <w:t>Wydatki powinny być udokumentowane fakturami lub rachunkami</w:t>
            </w:r>
            <w:r>
              <w:t>.</w:t>
            </w:r>
          </w:p>
        </w:tc>
      </w:tr>
    </w:tbl>
    <w:p w14:paraId="7AAACE5C" w14:textId="77777777" w:rsidR="007D4541" w:rsidRPr="00CC329F" w:rsidRDefault="007D4541" w:rsidP="00CC329F">
      <w:pPr>
        <w:pStyle w:val="Default"/>
        <w:rPr>
          <w:b/>
          <w:color w:val="auto"/>
        </w:rPr>
      </w:pPr>
    </w:p>
    <w:p w14:paraId="32A4B805" w14:textId="22FE4947" w:rsidR="00D2655F" w:rsidRPr="00D2655F" w:rsidRDefault="00D2655F" w:rsidP="00D2655F">
      <w:pPr>
        <w:pStyle w:val="Default"/>
        <w:numPr>
          <w:ilvl w:val="0"/>
          <w:numId w:val="16"/>
        </w:numPr>
        <w:tabs>
          <w:tab w:val="left" w:pos="426"/>
        </w:tabs>
        <w:ind w:left="426" w:firstLine="0"/>
        <w:rPr>
          <w:color w:val="auto"/>
        </w:rPr>
      </w:pPr>
      <w:r>
        <w:rPr>
          <w:color w:val="auto"/>
        </w:rPr>
        <w:t xml:space="preserve"> Koszty administracyjne </w:t>
      </w:r>
      <w:r w:rsidRPr="00D2655F">
        <w:rPr>
          <w:color w:val="auto"/>
        </w:rPr>
        <w:t xml:space="preserve">możliwe do uwzględnienia przy realizacji zadań </w:t>
      </w:r>
      <w:r w:rsidRPr="00D2655F">
        <w:rPr>
          <w:color w:val="auto"/>
        </w:rPr>
        <w:tab/>
        <w:t>polegających na szkoleniu dzieci i młodzieży do 21 roku życia:</w:t>
      </w:r>
    </w:p>
    <w:p w14:paraId="05B62D7A" w14:textId="566DC617" w:rsidR="006115A6" w:rsidRPr="00CC329F" w:rsidRDefault="006115A6" w:rsidP="00CC329F">
      <w:pPr>
        <w:pStyle w:val="Default"/>
        <w:rPr>
          <w:color w:val="auto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13"/>
        <w:gridCol w:w="2259"/>
        <w:gridCol w:w="1985"/>
        <w:gridCol w:w="4110"/>
      </w:tblGrid>
      <w:tr w:rsidR="00A97471" w:rsidRPr="00583526" w14:paraId="6842A539" w14:textId="77777777" w:rsidTr="00583526">
        <w:trPr>
          <w:trHeight w:val="502"/>
        </w:trPr>
        <w:tc>
          <w:tcPr>
            <w:tcW w:w="713" w:type="dxa"/>
            <w:shd w:val="clear" w:color="auto" w:fill="A6A6A6" w:themeFill="background1" w:themeFillShade="A6"/>
            <w:vAlign w:val="center"/>
          </w:tcPr>
          <w:p w14:paraId="38FB51F3" w14:textId="77777777" w:rsidR="00A97471" w:rsidRPr="00583526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583526">
              <w:rPr>
                <w:color w:val="auto"/>
              </w:rPr>
              <w:t>Lp.</w:t>
            </w:r>
          </w:p>
        </w:tc>
        <w:tc>
          <w:tcPr>
            <w:tcW w:w="2259" w:type="dxa"/>
            <w:shd w:val="clear" w:color="auto" w:fill="A6A6A6" w:themeFill="background1" w:themeFillShade="A6"/>
            <w:vAlign w:val="center"/>
          </w:tcPr>
          <w:p w14:paraId="1C83ACB3" w14:textId="77777777" w:rsidR="00A97471" w:rsidRPr="00583526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583526">
              <w:rPr>
                <w:color w:val="auto"/>
              </w:rPr>
              <w:t>Zakres zadania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2850534" w14:textId="77777777" w:rsidR="00A97471" w:rsidRPr="00583526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583526">
              <w:rPr>
                <w:color w:val="auto"/>
              </w:rPr>
              <w:t>Rodzaj kosztów</w:t>
            </w:r>
          </w:p>
        </w:tc>
        <w:tc>
          <w:tcPr>
            <w:tcW w:w="4110" w:type="dxa"/>
            <w:shd w:val="clear" w:color="auto" w:fill="A6A6A6" w:themeFill="background1" w:themeFillShade="A6"/>
            <w:vAlign w:val="center"/>
          </w:tcPr>
          <w:p w14:paraId="44255BE1" w14:textId="77777777" w:rsidR="00A97471" w:rsidRPr="00583526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583526">
              <w:rPr>
                <w:color w:val="auto"/>
              </w:rPr>
              <w:t>Uwagi</w:t>
            </w:r>
          </w:p>
        </w:tc>
      </w:tr>
      <w:tr w:rsidR="00583526" w:rsidRPr="00FE757C" w14:paraId="4B246F4A" w14:textId="77777777" w:rsidTr="00583526">
        <w:trPr>
          <w:trHeight w:val="296"/>
        </w:trPr>
        <w:tc>
          <w:tcPr>
            <w:tcW w:w="713" w:type="dxa"/>
            <w:shd w:val="clear" w:color="auto" w:fill="D9D9D9" w:themeFill="background1" w:themeFillShade="D9"/>
            <w:vAlign w:val="center"/>
          </w:tcPr>
          <w:p w14:paraId="2C03E4E3" w14:textId="77777777" w:rsidR="00583526" w:rsidRPr="00FE757C" w:rsidRDefault="00583526" w:rsidP="005F38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757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2C7097B5" w14:textId="77777777" w:rsidR="00583526" w:rsidRPr="00FE757C" w:rsidRDefault="00583526" w:rsidP="005F388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678B9EA" w14:textId="77777777" w:rsidR="00583526" w:rsidRPr="00FE757C" w:rsidRDefault="00583526" w:rsidP="005F388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0814AEF" w14:textId="77777777" w:rsidR="00583526" w:rsidRPr="00FE757C" w:rsidRDefault="00583526" w:rsidP="005F3886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4</w:t>
            </w:r>
          </w:p>
        </w:tc>
      </w:tr>
      <w:tr w:rsidR="007D4541" w:rsidRPr="00CC329F" w14:paraId="7B59BC8D" w14:textId="77777777" w:rsidTr="00CD6EF1">
        <w:trPr>
          <w:trHeight w:val="721"/>
        </w:trPr>
        <w:tc>
          <w:tcPr>
            <w:tcW w:w="713" w:type="dxa"/>
            <w:vAlign w:val="center"/>
          </w:tcPr>
          <w:p w14:paraId="5FC96E6C" w14:textId="77777777"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259" w:type="dxa"/>
            <w:vAlign w:val="center"/>
          </w:tcPr>
          <w:p w14:paraId="4D9E0298" w14:textId="77777777"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Wynajem lokalu</w:t>
            </w:r>
          </w:p>
        </w:tc>
        <w:tc>
          <w:tcPr>
            <w:tcW w:w="1985" w:type="dxa"/>
            <w:vMerge w:val="restart"/>
            <w:vAlign w:val="center"/>
          </w:tcPr>
          <w:p w14:paraId="41D6677F" w14:textId="77777777" w:rsidR="007D4541" w:rsidRDefault="007D4541" w:rsidP="00CC329F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color w:val="auto"/>
              </w:rPr>
              <w:t xml:space="preserve">Koszty pośrednie niezbędne </w:t>
            </w:r>
          </w:p>
          <w:p w14:paraId="594D4AA7" w14:textId="77777777"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do obsługi zadania</w:t>
            </w:r>
          </w:p>
        </w:tc>
        <w:tc>
          <w:tcPr>
            <w:tcW w:w="4110" w:type="dxa"/>
            <w:vAlign w:val="center"/>
          </w:tcPr>
          <w:p w14:paraId="0535C881" w14:textId="77777777"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Pokrycie kosztów wynajęcia lokalu powinno być w wysokości adekwatnej do stopnia wykorzystania przy realizacji zadania.</w:t>
            </w:r>
          </w:p>
        </w:tc>
      </w:tr>
      <w:tr w:rsidR="007D4541" w:rsidRPr="00CC329F" w14:paraId="7B6F037F" w14:textId="77777777" w:rsidTr="00CD6EF1">
        <w:trPr>
          <w:trHeight w:val="572"/>
        </w:trPr>
        <w:tc>
          <w:tcPr>
            <w:tcW w:w="713" w:type="dxa"/>
            <w:vAlign w:val="center"/>
          </w:tcPr>
          <w:p w14:paraId="3CA35633" w14:textId="77777777"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259" w:type="dxa"/>
            <w:vAlign w:val="center"/>
          </w:tcPr>
          <w:p w14:paraId="612EA86F" w14:textId="77777777"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Konserwacja urządzeń biurowych</w:t>
            </w:r>
          </w:p>
        </w:tc>
        <w:tc>
          <w:tcPr>
            <w:tcW w:w="1985" w:type="dxa"/>
            <w:vMerge/>
            <w:vAlign w:val="center"/>
          </w:tcPr>
          <w:p w14:paraId="56009638" w14:textId="77777777"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110" w:type="dxa"/>
            <w:vAlign w:val="center"/>
          </w:tcPr>
          <w:p w14:paraId="6F8FD1C2" w14:textId="77777777"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D4541" w:rsidRPr="00CC329F" w14:paraId="085A2E27" w14:textId="77777777" w:rsidTr="00CD6EF1">
        <w:trPr>
          <w:trHeight w:val="525"/>
        </w:trPr>
        <w:tc>
          <w:tcPr>
            <w:tcW w:w="713" w:type="dxa"/>
            <w:vAlign w:val="center"/>
          </w:tcPr>
          <w:p w14:paraId="6CE6216F" w14:textId="77777777"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2259" w:type="dxa"/>
            <w:vAlign w:val="center"/>
          </w:tcPr>
          <w:p w14:paraId="539D9ABB" w14:textId="77777777"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Korespondencja i łączność oraz opłaty bankowe</w:t>
            </w:r>
          </w:p>
        </w:tc>
        <w:tc>
          <w:tcPr>
            <w:tcW w:w="1985" w:type="dxa"/>
            <w:vMerge/>
            <w:vAlign w:val="center"/>
          </w:tcPr>
          <w:p w14:paraId="6045D811" w14:textId="77777777"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110" w:type="dxa"/>
            <w:vAlign w:val="center"/>
          </w:tcPr>
          <w:p w14:paraId="727EDFBC" w14:textId="77777777"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D4541" w:rsidRPr="00CC329F" w14:paraId="11AA6BF3" w14:textId="77777777" w:rsidTr="00CD6EF1">
        <w:trPr>
          <w:trHeight w:val="743"/>
        </w:trPr>
        <w:tc>
          <w:tcPr>
            <w:tcW w:w="713" w:type="dxa"/>
            <w:vAlign w:val="center"/>
          </w:tcPr>
          <w:p w14:paraId="06A95594" w14:textId="77777777"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259" w:type="dxa"/>
            <w:vAlign w:val="center"/>
          </w:tcPr>
          <w:p w14:paraId="2944C637" w14:textId="77777777"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Wynagrodzenie za obsługę zadania</w:t>
            </w:r>
          </w:p>
        </w:tc>
        <w:tc>
          <w:tcPr>
            <w:tcW w:w="1985" w:type="dxa"/>
            <w:vMerge/>
            <w:vAlign w:val="center"/>
          </w:tcPr>
          <w:p w14:paraId="4E74EF57" w14:textId="77777777"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110" w:type="dxa"/>
            <w:vAlign w:val="center"/>
          </w:tcPr>
          <w:p w14:paraId="770EC1C1" w14:textId="77777777"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Nie dotyczy osób zabezpieczających proces szkolenia ujętych w kosztach bezpośrednich wspomagania szkolenia.</w:t>
            </w:r>
          </w:p>
          <w:p w14:paraId="0C2C1190" w14:textId="77777777" w:rsidR="007D4541" w:rsidRPr="00CC329F" w:rsidRDefault="00BD241E" w:rsidP="007D45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="007D4541" w:rsidRPr="00CC329F">
              <w:rPr>
                <w:color w:val="auto"/>
              </w:rPr>
              <w:t>bsługa księgowa i organizacyjno - administracyjna w kwotach do 500,00 zł miesięcznie (brutto)</w:t>
            </w:r>
          </w:p>
        </w:tc>
      </w:tr>
      <w:tr w:rsidR="007D4541" w:rsidRPr="00CC329F" w14:paraId="3217950E" w14:textId="77777777" w:rsidTr="00CD6EF1">
        <w:trPr>
          <w:trHeight w:val="488"/>
        </w:trPr>
        <w:tc>
          <w:tcPr>
            <w:tcW w:w="713" w:type="dxa"/>
            <w:vAlign w:val="center"/>
          </w:tcPr>
          <w:p w14:paraId="51FC0A50" w14:textId="77777777"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259" w:type="dxa"/>
            <w:vAlign w:val="center"/>
          </w:tcPr>
          <w:p w14:paraId="4D249260" w14:textId="77777777"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Koszty transportu</w:t>
            </w:r>
          </w:p>
        </w:tc>
        <w:tc>
          <w:tcPr>
            <w:tcW w:w="1985" w:type="dxa"/>
            <w:vMerge/>
            <w:vAlign w:val="center"/>
          </w:tcPr>
          <w:p w14:paraId="0F105B9F" w14:textId="77777777"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110" w:type="dxa"/>
            <w:vAlign w:val="center"/>
          </w:tcPr>
          <w:p w14:paraId="0197A813" w14:textId="77777777"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Dotyczy kosztów nie ujętych w kosztach bezpośrednich. Koszty związane z administracyjną obsługą zadania</w:t>
            </w:r>
          </w:p>
        </w:tc>
      </w:tr>
    </w:tbl>
    <w:p w14:paraId="4DBDFDBF" w14:textId="4C554881" w:rsidR="00C74FBA" w:rsidRDefault="00C74FBA" w:rsidP="00C74FBA"/>
    <w:p w14:paraId="2A69EC0E" w14:textId="3972687B" w:rsidR="00D2655F" w:rsidRDefault="00D2655F" w:rsidP="00D2655F">
      <w:pPr>
        <w:jc w:val="both"/>
      </w:pPr>
      <w:r>
        <w:t xml:space="preserve">Koszty administracyjne </w:t>
      </w:r>
      <w:r w:rsidRPr="00CC329F">
        <w:t>nie mogą przekroczyć 10 % kwoty przyznanej dotacji.</w:t>
      </w:r>
    </w:p>
    <w:p w14:paraId="7ECB6922" w14:textId="3C919E4B" w:rsidR="00D2655F" w:rsidRDefault="00D2655F" w:rsidP="00D2655F">
      <w:r w:rsidRPr="00CC329F">
        <w:t>Wskazane rodzaje kosztów powinny być pokrywane w wysokości adekwatnej do stopnia udziału przy realizacji zadania</w:t>
      </w:r>
      <w:r>
        <w:t>.</w:t>
      </w:r>
    </w:p>
    <w:p w14:paraId="79590039" w14:textId="77777777" w:rsidR="00CD6EF1" w:rsidRPr="004F0C34" w:rsidRDefault="00CD6EF1" w:rsidP="00CD6EF1">
      <w:pPr>
        <w:pStyle w:val="Default"/>
        <w:numPr>
          <w:ilvl w:val="0"/>
          <w:numId w:val="14"/>
        </w:numPr>
        <w:spacing w:before="120" w:after="120"/>
        <w:jc w:val="both"/>
      </w:pPr>
      <w:r w:rsidRPr="004F0C34">
        <w:rPr>
          <w:b/>
          <w:bCs/>
        </w:rPr>
        <w:lastRenderedPageBreak/>
        <w:t xml:space="preserve">Wydatki. </w:t>
      </w:r>
      <w:r w:rsidRPr="004F0C34">
        <w:t>Pod pojęciem kosztu faktycznie poniesionego w okresie, którego dotyczy umowa należy rozumieć wydatek poniesiony w znaczeniu kasowym w danym okresie, tj. jako rozchód środków pieniężnych z kasy lub rachunku bankowego, powodujący faktyczny przepływ środków pieniężnych od podmiotu. Zasadą jest, że dla uznania kosztu musi zaistnieć jednocześnie koszt i</w:t>
      </w:r>
      <w:r>
        <w:t> </w:t>
      </w:r>
      <w:r w:rsidRPr="004F0C34">
        <w:t>wydatek.</w:t>
      </w:r>
    </w:p>
    <w:p w14:paraId="666A9313" w14:textId="10790CDE" w:rsidR="00CD6EF1" w:rsidRPr="004F0C34" w:rsidRDefault="00CD6EF1" w:rsidP="00CD6EF1">
      <w:pPr>
        <w:pStyle w:val="Default"/>
        <w:numPr>
          <w:ilvl w:val="0"/>
          <w:numId w:val="14"/>
        </w:numPr>
        <w:spacing w:before="120" w:after="120"/>
        <w:jc w:val="both"/>
      </w:pPr>
      <w:r w:rsidRPr="004F0C34">
        <w:t>Dowodem poniesienia kosztu jest opłacona faktura</w:t>
      </w:r>
      <w:r>
        <w:t xml:space="preserve"> VAT lub inny dokument księgowy o </w:t>
      </w:r>
      <w:r w:rsidRPr="004F0C34">
        <w:t>równoważnej wartości dowodowej wraz z dowodami zapłaty. Dowodem zapłaty w</w:t>
      </w:r>
      <w:r w:rsidR="00D2655F">
        <w:t> </w:t>
      </w:r>
      <w:r w:rsidRPr="004F0C34">
        <w:t>przypadku płatności gotówkowej jest dokument księgowy z adnotacją np.</w:t>
      </w:r>
      <w:r w:rsidR="00D2655F">
        <w:t> </w:t>
      </w:r>
      <w:r w:rsidRPr="004F0C34">
        <w:t>„zapłacono gotówką/forma płatności: gotówka” lub inny dokument potwierdzający rozchód z kasy podmiotu. Dowodem zapłaty w przypadku płatności bezgotówkowej jest odpowiedni dokument bankowy dok</w:t>
      </w:r>
      <w:r>
        <w:t xml:space="preserve">umentujący obciążenia rachunku. </w:t>
      </w:r>
      <w:r w:rsidRPr="004F0C34">
        <w:t>Za datę poniesienia wydatku przyjmuje się dla wydatków dokonanych przelewem lub kartą płatniczą - datę obciążenia rachunku, natomiast dla wydatków dokonanych gotówką - datę faktycznie dokonanej płatności.</w:t>
      </w:r>
    </w:p>
    <w:p w14:paraId="21993039" w14:textId="77777777" w:rsidR="00CD6EF1" w:rsidRPr="004F0C34" w:rsidRDefault="00CD6EF1" w:rsidP="00CD6EF1">
      <w:pPr>
        <w:pStyle w:val="Default"/>
        <w:numPr>
          <w:ilvl w:val="0"/>
          <w:numId w:val="14"/>
        </w:numPr>
        <w:spacing w:before="120" w:after="120"/>
        <w:jc w:val="both"/>
      </w:pPr>
      <w:r w:rsidRPr="004F0C34">
        <w:t xml:space="preserve">W opisie umieszczonym na dowodach księgowych powinny znaleźć się następujące elementy: </w:t>
      </w:r>
    </w:p>
    <w:p w14:paraId="0CDBB8E7" w14:textId="77777777" w:rsidR="00CD6EF1" w:rsidRPr="004F0C34" w:rsidRDefault="00CD6EF1" w:rsidP="00CD6EF1">
      <w:pPr>
        <w:pStyle w:val="Default"/>
        <w:ind w:left="227"/>
        <w:jc w:val="both"/>
      </w:pPr>
      <w:r w:rsidRPr="004F0C34">
        <w:t xml:space="preserve">1) pieczęć </w:t>
      </w:r>
      <w:r>
        <w:t>oferenta</w:t>
      </w:r>
      <w:r w:rsidRPr="004F0C34">
        <w:t xml:space="preserve">; </w:t>
      </w:r>
    </w:p>
    <w:p w14:paraId="64512040" w14:textId="77777777" w:rsidR="00CD6EF1" w:rsidRPr="004F0C34" w:rsidRDefault="00CD6EF1" w:rsidP="00CD6EF1">
      <w:pPr>
        <w:pStyle w:val="Default"/>
        <w:ind w:left="227"/>
        <w:jc w:val="both"/>
      </w:pPr>
      <w:r w:rsidRPr="004F0C34">
        <w:t xml:space="preserve">2) opis merytoryczny dokonanej operacji z podpisem osoby koordynującej zadanie; </w:t>
      </w:r>
    </w:p>
    <w:p w14:paraId="174F2925" w14:textId="77777777" w:rsidR="00CD6EF1" w:rsidRPr="004F0C34" w:rsidRDefault="00CD6EF1" w:rsidP="00CD6EF1">
      <w:pPr>
        <w:pStyle w:val="Default"/>
        <w:ind w:left="227"/>
        <w:jc w:val="both"/>
      </w:pPr>
      <w:r w:rsidRPr="004F0C34">
        <w:t xml:space="preserve">3) podpisy osób sprawdzających dokument pod względem: </w:t>
      </w:r>
    </w:p>
    <w:p w14:paraId="52EA2783" w14:textId="77777777" w:rsidR="00CD6EF1" w:rsidRPr="004F0C34" w:rsidRDefault="00CD6EF1" w:rsidP="00CD6EF1">
      <w:pPr>
        <w:pStyle w:val="Default"/>
        <w:ind w:left="540"/>
        <w:jc w:val="both"/>
      </w:pPr>
      <w:r w:rsidRPr="004F0C34">
        <w:t xml:space="preserve">a) merytorycznym, </w:t>
      </w:r>
    </w:p>
    <w:p w14:paraId="7BFAB9D5" w14:textId="77777777" w:rsidR="00CD6EF1" w:rsidRPr="004F0C34" w:rsidRDefault="00CD6EF1" w:rsidP="00CD6EF1">
      <w:pPr>
        <w:pStyle w:val="Default"/>
        <w:ind w:left="540"/>
        <w:jc w:val="both"/>
      </w:pPr>
      <w:r w:rsidRPr="004F0C34">
        <w:t xml:space="preserve">b) formalno-rachunkowym, </w:t>
      </w:r>
    </w:p>
    <w:p w14:paraId="5CB81A23" w14:textId="77777777" w:rsidR="00CD6EF1" w:rsidRPr="004F0C34" w:rsidRDefault="00CD6EF1" w:rsidP="00CD6EF1">
      <w:pPr>
        <w:pStyle w:val="Default"/>
        <w:ind w:left="540"/>
        <w:jc w:val="both"/>
      </w:pPr>
      <w:r w:rsidRPr="004F0C34">
        <w:t xml:space="preserve">c) zatwierdzających wydatek do realizacji (osoby odpowiadające za finanse); </w:t>
      </w:r>
    </w:p>
    <w:p w14:paraId="1DCF9100" w14:textId="5086A47B" w:rsidR="00CD6EF1" w:rsidRPr="004F0C34" w:rsidRDefault="00CD6EF1" w:rsidP="00CD6EF1">
      <w:pPr>
        <w:pStyle w:val="Default"/>
        <w:ind w:left="227"/>
        <w:jc w:val="both"/>
      </w:pPr>
      <w:r w:rsidRPr="004F0C34">
        <w:t xml:space="preserve">Dowody księgowe dokumentujące wydatki pokrywane z dotacji powinny również zawierać adnotację (zgodnie z umową): </w:t>
      </w:r>
    </w:p>
    <w:p w14:paraId="1B209E40" w14:textId="77777777" w:rsidR="00CD6EF1" w:rsidRDefault="00CD6EF1" w:rsidP="00CD6EF1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t>„Sfinansowano ze śro</w:t>
      </w:r>
      <w:r>
        <w:rPr>
          <w:color w:val="auto"/>
        </w:rPr>
        <w:t xml:space="preserve">dków ……………. </w:t>
      </w:r>
    </w:p>
    <w:p w14:paraId="3EFA7023" w14:textId="15167F5C" w:rsidR="00CD6EF1" w:rsidRPr="00090749" w:rsidRDefault="00CD6EF1" w:rsidP="00CD6EF1">
      <w:pPr>
        <w:pStyle w:val="Default"/>
        <w:ind w:left="227"/>
        <w:jc w:val="both"/>
        <w:rPr>
          <w:color w:val="auto"/>
        </w:rPr>
      </w:pPr>
      <w:r>
        <w:rPr>
          <w:color w:val="auto"/>
        </w:rPr>
        <w:t xml:space="preserve">Umowa dotacji nr </w:t>
      </w:r>
      <w:r w:rsidRPr="00090749">
        <w:rPr>
          <w:color w:val="auto"/>
        </w:rPr>
        <w:t>…..…… z dnia</w:t>
      </w:r>
      <w:r>
        <w:rPr>
          <w:color w:val="auto"/>
        </w:rPr>
        <w:t>…</w:t>
      </w:r>
      <w:r w:rsidRPr="00090749">
        <w:rPr>
          <w:color w:val="auto"/>
        </w:rPr>
        <w:t xml:space="preserve">……..… </w:t>
      </w:r>
    </w:p>
    <w:p w14:paraId="57633C8B" w14:textId="77777777" w:rsidR="00CD6EF1" w:rsidRDefault="00CD6EF1" w:rsidP="00CD6EF1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t>Działanie nr ……….</w:t>
      </w:r>
      <w:r>
        <w:rPr>
          <w:color w:val="auto"/>
        </w:rPr>
        <w:t xml:space="preserve"> </w:t>
      </w:r>
      <w:r w:rsidRPr="00090749">
        <w:rPr>
          <w:color w:val="auto"/>
        </w:rPr>
        <w:t>Pozycja kosztu …..…  Kwota …………</w:t>
      </w:r>
    </w:p>
    <w:p w14:paraId="28ACBEF7" w14:textId="4D63CF12" w:rsidR="00CD6EF1" w:rsidRPr="00090749" w:rsidRDefault="00CD6EF1" w:rsidP="00CD6EF1">
      <w:pPr>
        <w:pStyle w:val="Default"/>
        <w:ind w:left="227"/>
        <w:jc w:val="both"/>
        <w:rPr>
          <w:color w:val="auto"/>
        </w:rPr>
      </w:pPr>
      <w:r w:rsidRPr="00090749">
        <w:rPr>
          <w:color w:val="auto"/>
        </w:rPr>
        <w:t>Data i podpis ………………”</w:t>
      </w:r>
    </w:p>
    <w:p w14:paraId="0626D1D1" w14:textId="1D733C61" w:rsidR="00CD6EF1" w:rsidRPr="004F0C34" w:rsidRDefault="00CD6EF1" w:rsidP="00CD6EF1">
      <w:pPr>
        <w:pStyle w:val="Default"/>
        <w:numPr>
          <w:ilvl w:val="0"/>
          <w:numId w:val="14"/>
        </w:numPr>
        <w:spacing w:before="120" w:after="120"/>
        <w:jc w:val="both"/>
      </w:pPr>
      <w:r w:rsidRPr="00931AE3">
        <w:rPr>
          <w:bCs/>
        </w:rPr>
        <w:t>W przypadku otrzymania dotacji w pełnej wysokości</w:t>
      </w:r>
      <w:r w:rsidRPr="004F0C34">
        <w:t xml:space="preserve">, o jaką </w:t>
      </w:r>
      <w:r>
        <w:t>oferent</w:t>
      </w:r>
      <w:r w:rsidRPr="004F0C34">
        <w:t xml:space="preserve"> wnioskował, złożona oferta jest wiążąca bez możliwości zmniejszenia wkładu osobowego, wysokości finansowych środków własnych, środków z innych źródeł, w tym wpłat i</w:t>
      </w:r>
      <w:r w:rsidR="003A3EAE">
        <w:t> </w:t>
      </w:r>
      <w:r w:rsidRPr="004F0C34">
        <w:t xml:space="preserve">opłat adresatów zadania publicznego </w:t>
      </w:r>
      <w:r w:rsidRPr="00931AE3">
        <w:rPr>
          <w:bCs/>
        </w:rPr>
        <w:t>z wyjątkiem sytuacji</w:t>
      </w:r>
      <w:r w:rsidRPr="004F0C34">
        <w:t>, kiedy oferent/oferenci umieszczą w ofercie</w:t>
      </w:r>
      <w:r>
        <w:t xml:space="preserve"> informację o złożeniu wniosków o </w:t>
      </w:r>
      <w:r w:rsidRPr="004F0C34">
        <w:t>dofinansowanie do organów administracji publicznej lub innych jednostek sektora finansów publicznych określając, że wniosek czeka na rozstrzygnięcie. W przypadku nieuzyskania dotacji lub nieuzyskania w pełnej wysokości, kiedy istnieje możliwości reali</w:t>
      </w:r>
      <w:r>
        <w:t>zacji w ograniczonym zakresie, o</w:t>
      </w:r>
      <w:r w:rsidRPr="004F0C34">
        <w:t xml:space="preserve">ferent może dokonać stosownych zmian w ofercie. W przypadku, gdy </w:t>
      </w:r>
      <w:r w:rsidRPr="003A3EAE">
        <w:t>do</w:t>
      </w:r>
      <w:r w:rsidR="003A3EAE">
        <w:t> </w:t>
      </w:r>
      <w:r w:rsidRPr="003A3EAE">
        <w:t>oferty</w:t>
      </w:r>
      <w:r w:rsidRPr="004F0C34">
        <w:t xml:space="preserve"> były zastrzeżenia Komisji, podmiot celem aktualizacji musi przedstawić zaktualizowany harmonogram oraz</w:t>
      </w:r>
      <w:r>
        <w:t> </w:t>
      </w:r>
      <w:r w:rsidRPr="004F0C34">
        <w:t>poprawiony kosztorys (bez możliwości wprowadzenia nowych kosztów).</w:t>
      </w:r>
    </w:p>
    <w:p w14:paraId="1A4BE85D" w14:textId="24BF26A2" w:rsidR="00CD6EF1" w:rsidRPr="004F0C34" w:rsidRDefault="00CD6EF1" w:rsidP="00CD6EF1">
      <w:pPr>
        <w:pStyle w:val="Default"/>
        <w:numPr>
          <w:ilvl w:val="0"/>
          <w:numId w:val="14"/>
        </w:numPr>
        <w:spacing w:before="120" w:after="120"/>
        <w:jc w:val="both"/>
      </w:pPr>
      <w:r w:rsidRPr="00931AE3">
        <w:rPr>
          <w:bCs/>
        </w:rPr>
        <w:t>W przypadku otrzymania dotacji w wysokości mniejszej od wnioskowanej, oferent powinien utrzymać procentowy udział finansowego wkładu własnego lub w</w:t>
      </w:r>
      <w:r>
        <w:rPr>
          <w:bCs/>
        </w:rPr>
        <w:t>kładu osobowego deklarowanego w </w:t>
      </w:r>
      <w:r w:rsidRPr="00931AE3">
        <w:rPr>
          <w:bCs/>
        </w:rPr>
        <w:t>ofercie w stosunku do otrzymanej dotacji</w:t>
      </w:r>
      <w:r w:rsidRPr="004F0C34">
        <w:t>. W</w:t>
      </w:r>
      <w:r>
        <w:t> </w:t>
      </w:r>
      <w:r w:rsidRPr="004F0C34">
        <w:t xml:space="preserve">uzasadnionym przypadku może nastąpić zmniejszenie procentowego udziału odpowiedniego wkładu wobec podanego w ofercie, jednak musi to być uzasadnione specyfiką zadania, a przed podpisaniem umowy </w:t>
      </w:r>
      <w:r>
        <w:t>oferent</w:t>
      </w:r>
      <w:r w:rsidRPr="004F0C34">
        <w:t xml:space="preserve"> </w:t>
      </w:r>
      <w:r>
        <w:t>z</w:t>
      </w:r>
      <w:r w:rsidRPr="004F0C34">
        <w:t>obowiązany jest złożyć pisemne wyjaśnienie przyczyny tych zmian i uzyskać akceptację Gminy.</w:t>
      </w:r>
    </w:p>
    <w:p w14:paraId="6D1DFC6B" w14:textId="4B8724FE" w:rsidR="00CD6EF1" w:rsidRPr="001037EC" w:rsidRDefault="00CD6EF1" w:rsidP="00CD6EF1">
      <w:pPr>
        <w:pStyle w:val="Default"/>
        <w:numPr>
          <w:ilvl w:val="0"/>
          <w:numId w:val="14"/>
        </w:numPr>
        <w:spacing w:before="120" w:after="120"/>
        <w:jc w:val="both"/>
        <w:rPr>
          <w:color w:val="auto"/>
        </w:rPr>
      </w:pPr>
      <w:r w:rsidRPr="00931AE3">
        <w:rPr>
          <w:bCs/>
          <w:color w:val="auto"/>
        </w:rPr>
        <w:lastRenderedPageBreak/>
        <w:t>W przypadku przyznania dotacji w kwocie mniejszej od wnioskowanej</w:t>
      </w:r>
      <w:r w:rsidRPr="001037EC">
        <w:rPr>
          <w:color w:val="auto"/>
        </w:rPr>
        <w:t>, oferent zobowiązany jest do przedłożenia zaktualizowanego harmonogramu działań, zaktualizowanej kalkulacji przewidywanych kosztów realizacji zadania oraz zaktualizowanego opisu poszczególnych działań, które stanowić będzie podstawę do</w:t>
      </w:r>
      <w:r>
        <w:rPr>
          <w:color w:val="auto"/>
        </w:rPr>
        <w:t> </w:t>
      </w:r>
      <w:r w:rsidRPr="001037EC">
        <w:rPr>
          <w:color w:val="auto"/>
        </w:rPr>
        <w:t xml:space="preserve">zawarcia umowy. </w:t>
      </w:r>
    </w:p>
    <w:p w14:paraId="32697D66" w14:textId="77777777" w:rsidR="00CD6EF1" w:rsidRPr="004F0C34" w:rsidRDefault="00CD6EF1" w:rsidP="00CD6EF1">
      <w:pPr>
        <w:pStyle w:val="Default"/>
        <w:numPr>
          <w:ilvl w:val="0"/>
          <w:numId w:val="14"/>
        </w:numPr>
        <w:spacing w:before="120" w:after="120"/>
        <w:jc w:val="both"/>
      </w:pPr>
      <w:r w:rsidRPr="004F0C34">
        <w:t xml:space="preserve">Przez osobowy wkład własny należy rozumieć: </w:t>
      </w:r>
    </w:p>
    <w:p w14:paraId="13FC7485" w14:textId="77777777" w:rsidR="00CD6EF1" w:rsidRPr="004F0C34" w:rsidRDefault="00CD6EF1" w:rsidP="00CD6EF1">
      <w:pPr>
        <w:pStyle w:val="Default"/>
        <w:numPr>
          <w:ilvl w:val="1"/>
          <w:numId w:val="14"/>
        </w:numPr>
        <w:spacing w:after="120"/>
        <w:jc w:val="both"/>
      </w:pPr>
      <w:r>
        <w:t>P</w:t>
      </w:r>
      <w:r w:rsidRPr="004F0C34">
        <w:t>racę wolontariuszy udokumentowaną zawartymi porozumieniami, ich kartami pracy lub</w:t>
      </w:r>
      <w:r>
        <w:t> </w:t>
      </w:r>
      <w:r w:rsidRPr="004F0C34">
        <w:t xml:space="preserve">oświadczeniami wolontariuszy o wykonaniu powierzonych im zadań; </w:t>
      </w:r>
    </w:p>
    <w:p w14:paraId="570ECA36" w14:textId="77777777" w:rsidR="00CD6EF1" w:rsidRPr="004F0C34" w:rsidRDefault="00CD6EF1" w:rsidP="00CD6EF1">
      <w:pPr>
        <w:pStyle w:val="Default"/>
        <w:numPr>
          <w:ilvl w:val="1"/>
          <w:numId w:val="14"/>
        </w:numPr>
        <w:spacing w:after="120"/>
        <w:jc w:val="both"/>
      </w:pPr>
      <w:r>
        <w:t>Pracę członków oferenta</w:t>
      </w:r>
      <w:r w:rsidRPr="004F0C34">
        <w:t xml:space="preserve"> udokumentowaną oświadczeniami o wykonaniu powierzonych zadań; </w:t>
      </w:r>
    </w:p>
    <w:p w14:paraId="6D7066C9" w14:textId="77777777" w:rsidR="00CD6EF1" w:rsidRPr="004F0C34" w:rsidRDefault="00CD6EF1" w:rsidP="00CD6EF1">
      <w:pPr>
        <w:pStyle w:val="Default"/>
        <w:numPr>
          <w:ilvl w:val="1"/>
          <w:numId w:val="14"/>
        </w:numPr>
        <w:spacing w:after="120"/>
        <w:jc w:val="both"/>
        <w:rPr>
          <w:color w:val="auto"/>
        </w:rPr>
      </w:pPr>
      <w:r>
        <w:t>Oferent</w:t>
      </w:r>
      <w:r w:rsidRPr="004F0C34">
        <w:t xml:space="preserve"> przy szacowaniu wielkości wkładu osobowego bierze pod uwagę zadania, które powierzy do realizacji wolontariuszom bądź swoim członkom, czas realizacji tych zadań oraz koszty, jakie musiałby </w:t>
      </w:r>
      <w:r w:rsidRPr="004F0C34">
        <w:rPr>
          <w:color w:val="auto"/>
        </w:rPr>
        <w:t>ponieść zatrudniając odpłatn</w:t>
      </w:r>
      <w:r>
        <w:rPr>
          <w:color w:val="auto"/>
        </w:rPr>
        <w:t>ie osoby</w:t>
      </w:r>
      <w:r w:rsidRPr="004F0C34">
        <w:rPr>
          <w:color w:val="auto"/>
        </w:rPr>
        <w:t>;</w:t>
      </w:r>
    </w:p>
    <w:p w14:paraId="0C241FD0" w14:textId="77777777" w:rsidR="00CD6EF1" w:rsidRPr="00CD6EF1" w:rsidRDefault="00CD6EF1" w:rsidP="00CD6EF1">
      <w:pPr>
        <w:pStyle w:val="Default"/>
        <w:numPr>
          <w:ilvl w:val="1"/>
          <w:numId w:val="14"/>
        </w:numPr>
        <w:spacing w:after="120"/>
        <w:jc w:val="both"/>
        <w:rPr>
          <w:rStyle w:val="Hipercze"/>
          <w:color w:val="auto"/>
          <w:u w:val="none"/>
        </w:rPr>
      </w:pPr>
      <w:r w:rsidRPr="00CD6EF1">
        <w:rPr>
          <w:color w:val="auto"/>
        </w:rPr>
        <w:t>S</w:t>
      </w:r>
      <w:r w:rsidRPr="00CD6EF1">
        <w:rPr>
          <w:rStyle w:val="Hipercze"/>
          <w:color w:val="auto"/>
          <w:u w:val="none"/>
        </w:rPr>
        <w:t>zacując wkład osobowy należy pamiętać, że wolontariuszem nie może być beneficjent ostateczny zadania.</w:t>
      </w:r>
    </w:p>
    <w:p w14:paraId="60E52C87" w14:textId="77777777" w:rsidR="00CD6EF1" w:rsidRPr="00C60A09" w:rsidRDefault="00CD6EF1" w:rsidP="00CD6EF1">
      <w:pPr>
        <w:pStyle w:val="Default"/>
        <w:numPr>
          <w:ilvl w:val="1"/>
          <w:numId w:val="14"/>
        </w:numPr>
        <w:spacing w:after="120"/>
        <w:jc w:val="both"/>
      </w:pPr>
      <w:r w:rsidRPr="00CD6EF1">
        <w:rPr>
          <w:rStyle w:val="Hipercze"/>
          <w:color w:val="auto"/>
          <w:u w:val="none"/>
        </w:rPr>
        <w:t>W</w:t>
      </w:r>
      <w:r w:rsidRPr="00C60A09">
        <w:t xml:space="preserve"> przypadku wnoszenia do projektu wkładu osobowego wartość tej pracy ustalona zostaje: </w:t>
      </w:r>
    </w:p>
    <w:p w14:paraId="52EA1933" w14:textId="01E435FC" w:rsidR="00CD6EF1" w:rsidRPr="00C60A09" w:rsidRDefault="00CD6EF1" w:rsidP="00CD6EF1">
      <w:pPr>
        <w:pStyle w:val="Default"/>
        <w:numPr>
          <w:ilvl w:val="2"/>
          <w:numId w:val="14"/>
        </w:numPr>
        <w:spacing w:after="120"/>
        <w:jc w:val="both"/>
      </w:pPr>
      <w:r w:rsidRPr="00C60A09">
        <w:t xml:space="preserve">w przypadku prac pomocniczych, godzina pracy wyceniona jest na nie więcej niż </w:t>
      </w:r>
      <w:r w:rsidR="00001FF3">
        <w:t>19</w:t>
      </w:r>
      <w:r w:rsidRPr="00C60A09">
        <w:t>,</w:t>
      </w:r>
      <w:r w:rsidR="00001FF3">
        <w:t>7</w:t>
      </w:r>
      <w:r w:rsidRPr="00C60A09">
        <w:t>0 zł</w:t>
      </w:r>
      <w:r>
        <w:t xml:space="preserve"> brutto</w:t>
      </w:r>
      <w:r w:rsidRPr="00C60A09">
        <w:t xml:space="preserve">, </w:t>
      </w:r>
    </w:p>
    <w:p w14:paraId="79D5916A" w14:textId="77777777" w:rsidR="00CD6EF1" w:rsidRPr="004F0C34" w:rsidRDefault="00CD6EF1" w:rsidP="00CD6EF1">
      <w:pPr>
        <w:pStyle w:val="Default"/>
        <w:numPr>
          <w:ilvl w:val="2"/>
          <w:numId w:val="14"/>
        </w:numPr>
        <w:spacing w:after="120"/>
        <w:jc w:val="both"/>
      </w:pPr>
      <w:r w:rsidRPr="004F0C34">
        <w:t>w przypadku prac administracyjnych, godzina pracy wyceniona jest na nie więcej niż 2</w:t>
      </w:r>
      <w:r>
        <w:t>8,00</w:t>
      </w:r>
      <w:r w:rsidRPr="004F0C34">
        <w:t xml:space="preserve"> zł</w:t>
      </w:r>
      <w:r>
        <w:t xml:space="preserve"> brutto</w:t>
      </w:r>
      <w:r w:rsidRPr="004F0C34">
        <w:t>,</w:t>
      </w:r>
    </w:p>
    <w:p w14:paraId="11389230" w14:textId="77777777" w:rsidR="00CD6EF1" w:rsidRPr="004F0C34" w:rsidRDefault="00CD6EF1" w:rsidP="00CD6EF1">
      <w:pPr>
        <w:pStyle w:val="Default"/>
        <w:numPr>
          <w:ilvl w:val="2"/>
          <w:numId w:val="14"/>
        </w:numPr>
        <w:spacing w:after="120"/>
        <w:jc w:val="both"/>
      </w:pPr>
      <w:r w:rsidRPr="004F0C34">
        <w:t xml:space="preserve">w przypadku prac ekspertów i specjalistów, godzina pracy wyceniona jest na nie więcej niż </w:t>
      </w:r>
      <w:r>
        <w:t>6</w:t>
      </w:r>
      <w:r w:rsidRPr="004F0C34">
        <w:t>0</w:t>
      </w:r>
      <w:r>
        <w:t>,00 </w:t>
      </w:r>
      <w:r w:rsidRPr="004F0C34">
        <w:t>zł</w:t>
      </w:r>
      <w:r>
        <w:t xml:space="preserve"> brutto</w:t>
      </w:r>
      <w:r w:rsidRPr="004F0C34">
        <w:t>,</w:t>
      </w:r>
    </w:p>
    <w:p w14:paraId="424CE685" w14:textId="77777777" w:rsidR="00CD6EF1" w:rsidRDefault="00CD6EF1" w:rsidP="00CD6EF1">
      <w:pPr>
        <w:pStyle w:val="Default"/>
        <w:numPr>
          <w:ilvl w:val="2"/>
          <w:numId w:val="14"/>
        </w:numPr>
        <w:spacing w:after="120"/>
        <w:jc w:val="both"/>
      </w:pPr>
      <w:r w:rsidRPr="004F0C34">
        <w:t>w przypadku prac ekspertów, specjalistów, których stawki godzinowe przekraczają maksymalne stawki za godzinę, oferent musi uzasadnić wysokość wyższej stawki.</w:t>
      </w:r>
    </w:p>
    <w:p w14:paraId="1B34672B" w14:textId="57E18D07" w:rsidR="00CD6EF1" w:rsidRPr="00CD6EF1" w:rsidRDefault="00CD6EF1" w:rsidP="00CD6EF1">
      <w:pPr>
        <w:pStyle w:val="Default"/>
        <w:numPr>
          <w:ilvl w:val="0"/>
          <w:numId w:val="14"/>
        </w:numPr>
        <w:spacing w:before="120" w:after="120"/>
        <w:jc w:val="both"/>
        <w:rPr>
          <w:rStyle w:val="Hipercze"/>
          <w:color w:val="auto"/>
          <w:u w:val="none"/>
        </w:rPr>
      </w:pPr>
      <w:r w:rsidRPr="00CD6EF1">
        <w:rPr>
          <w:rStyle w:val="Hipercze"/>
          <w:color w:val="auto"/>
          <w:u w:val="none"/>
        </w:rPr>
        <w:t>Przychody uzyskane przy realizacji zadania mogą zostać przeznaczone tylko na</w:t>
      </w:r>
      <w:r w:rsidR="002100B2">
        <w:rPr>
          <w:rStyle w:val="Hipercze"/>
          <w:color w:val="auto"/>
          <w:u w:val="none"/>
        </w:rPr>
        <w:t xml:space="preserve">  </w:t>
      </w:r>
      <w:r w:rsidRPr="00CD6EF1">
        <w:rPr>
          <w:rStyle w:val="Hipercze"/>
          <w:color w:val="auto"/>
          <w:u w:val="none"/>
        </w:rPr>
        <w:t>realizację zadania, na które dotacja została przyznana. Jeżeli oferent nie poinformuje Prezydenta Miasta o wszystkich przychodach uzyskanych z tytułu realizacji zadania, zastosowanie mają przepisy ustawy z dnia 27 sierpnia 2009 r. o finansach publicznych (Dz. U. z 20</w:t>
      </w:r>
      <w:r w:rsidR="00A64E98">
        <w:rPr>
          <w:rStyle w:val="Hipercze"/>
          <w:color w:val="auto"/>
          <w:u w:val="none"/>
        </w:rPr>
        <w:t>21</w:t>
      </w:r>
      <w:r w:rsidRPr="00CD6EF1">
        <w:rPr>
          <w:rStyle w:val="Hipercze"/>
          <w:color w:val="auto"/>
          <w:u w:val="none"/>
        </w:rPr>
        <w:t xml:space="preserve"> r. poz. </w:t>
      </w:r>
      <w:r w:rsidR="00A64E98">
        <w:rPr>
          <w:rStyle w:val="Hipercze"/>
          <w:color w:val="auto"/>
          <w:u w:val="none"/>
        </w:rPr>
        <w:t>305</w:t>
      </w:r>
      <w:r w:rsidRPr="00CD6EF1">
        <w:rPr>
          <w:rStyle w:val="Hipercze"/>
          <w:color w:val="auto"/>
          <w:u w:val="none"/>
        </w:rPr>
        <w:t xml:space="preserve"> z późn. zm.) dotyczące zwrotu dotacji pobranej w nadmiernej wysokości.</w:t>
      </w:r>
    </w:p>
    <w:p w14:paraId="2DCF9F76" w14:textId="13A3D10C" w:rsidR="00CD6EF1" w:rsidRDefault="00CD6EF1" w:rsidP="00CD6EF1">
      <w:pPr>
        <w:pStyle w:val="Default"/>
        <w:numPr>
          <w:ilvl w:val="0"/>
          <w:numId w:val="14"/>
        </w:numPr>
        <w:spacing w:after="120"/>
        <w:jc w:val="both"/>
      </w:pPr>
      <w:r w:rsidRPr="004F0C34">
        <w:rPr>
          <w:color w:val="auto"/>
        </w:rPr>
        <w:t>Przy korzystaniu</w:t>
      </w:r>
      <w:r w:rsidRPr="004F0C34">
        <w:t xml:space="preserve"> ze środków z budżetu </w:t>
      </w:r>
      <w:r>
        <w:t>Gminy Kędzierzyn-Koźle</w:t>
      </w:r>
      <w:r w:rsidRPr="004F0C34">
        <w:t xml:space="preserve"> podmiot zobowiązany jest do</w:t>
      </w:r>
      <w:r>
        <w:t> </w:t>
      </w:r>
      <w:r w:rsidRPr="004F0C34">
        <w:t>stosowania przepisów ustawy</w:t>
      </w:r>
      <w:r>
        <w:t xml:space="preserve"> z dnia 29 stycznia 2004 r. - </w:t>
      </w:r>
      <w:r w:rsidRPr="004F0C34">
        <w:t>Prawo zamówień publicznych</w:t>
      </w:r>
      <w:r>
        <w:t xml:space="preserve"> (Dz. U. z 20</w:t>
      </w:r>
      <w:r w:rsidR="0041115B">
        <w:t>21</w:t>
      </w:r>
      <w:r>
        <w:t xml:space="preserve"> r. poz. </w:t>
      </w:r>
      <w:r w:rsidR="0041115B">
        <w:t>1129</w:t>
      </w:r>
      <w:r>
        <w:t xml:space="preserve"> z późn. zm.)</w:t>
      </w:r>
      <w:r w:rsidRPr="004F0C34">
        <w:t>.</w:t>
      </w:r>
    </w:p>
    <w:p w14:paraId="1125486A" w14:textId="77777777" w:rsidR="00CD6EF1" w:rsidRDefault="00CD6EF1" w:rsidP="00CD6EF1">
      <w:pPr>
        <w:pStyle w:val="Default"/>
        <w:spacing w:after="120"/>
        <w:jc w:val="both"/>
      </w:pPr>
    </w:p>
    <w:p w14:paraId="5E57B61D" w14:textId="77777777" w:rsidR="00CD6EF1" w:rsidRDefault="00CD6EF1" w:rsidP="00CD6EF1">
      <w:pPr>
        <w:pStyle w:val="Default"/>
        <w:spacing w:after="120"/>
        <w:jc w:val="center"/>
      </w:pPr>
      <w:r>
        <w:t>Przyjmuję do wiadomości i zobowiązuję się stosować do powyższych zasad:</w:t>
      </w:r>
    </w:p>
    <w:p w14:paraId="65F26BCC" w14:textId="77777777" w:rsidR="00CD6EF1" w:rsidRDefault="00CD6EF1" w:rsidP="00CD6EF1">
      <w:pPr>
        <w:pStyle w:val="Default"/>
        <w:spacing w:after="120"/>
        <w:jc w:val="center"/>
      </w:pPr>
    </w:p>
    <w:p w14:paraId="0CBC6E8E" w14:textId="77777777" w:rsidR="00C74FBA" w:rsidRDefault="00C74FBA" w:rsidP="00C74FBA"/>
    <w:p w14:paraId="33E9F76F" w14:textId="77777777" w:rsidR="00921CC0" w:rsidRDefault="00921CC0" w:rsidP="00921CC0">
      <w:pPr>
        <w:jc w:val="both"/>
        <w:rPr>
          <w:rFonts w:ascii="Garamond" w:hAnsi="Garamond"/>
        </w:rPr>
      </w:pPr>
    </w:p>
    <w:p w14:paraId="31C6197E" w14:textId="77777777" w:rsidR="0009564F" w:rsidRPr="00AF2618" w:rsidRDefault="0009564F" w:rsidP="00921CC0">
      <w:pPr>
        <w:jc w:val="both"/>
        <w:rPr>
          <w:rFonts w:ascii="Garamond" w:hAnsi="Garamond"/>
        </w:rPr>
      </w:pPr>
    </w:p>
    <w:p w14:paraId="17CCCB25" w14:textId="77777777" w:rsidR="00921CC0" w:rsidRPr="003A5E86" w:rsidRDefault="00921CC0" w:rsidP="00921CC0">
      <w:pPr>
        <w:jc w:val="center"/>
        <w:rPr>
          <w:rFonts w:ascii="Garamond" w:hAnsi="Garamond"/>
          <w:sz w:val="22"/>
          <w:szCs w:val="22"/>
        </w:rPr>
      </w:pPr>
      <w:r w:rsidRPr="003A5E86">
        <w:rPr>
          <w:rFonts w:ascii="Garamond" w:hAnsi="Garamond"/>
          <w:sz w:val="22"/>
          <w:szCs w:val="22"/>
        </w:rPr>
        <w:t>….............................................................................................................</w:t>
      </w:r>
    </w:p>
    <w:p w14:paraId="269A1226" w14:textId="7A3B2665" w:rsidR="00C74FBA" w:rsidRPr="009C02D1" w:rsidRDefault="00583526" w:rsidP="00921CC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czytelny </w:t>
      </w:r>
      <w:r w:rsidR="00921CC0" w:rsidRPr="009C02D1">
        <w:rPr>
          <w:sz w:val="20"/>
          <w:szCs w:val="20"/>
        </w:rPr>
        <w:t>podpis(y) osób uprawionych do reprezentowania oferenta</w:t>
      </w:r>
    </w:p>
    <w:sectPr w:rsidR="00C74FBA" w:rsidRPr="009C02D1" w:rsidSect="00CD6EF1">
      <w:pgSz w:w="11906" w:h="16838"/>
      <w:pgMar w:top="1417" w:right="184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3000"/>
    <w:multiLevelType w:val="hybridMultilevel"/>
    <w:tmpl w:val="4370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1BFC"/>
    <w:multiLevelType w:val="hybridMultilevel"/>
    <w:tmpl w:val="0936C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3E4"/>
    <w:multiLevelType w:val="hybridMultilevel"/>
    <w:tmpl w:val="4240F804"/>
    <w:lvl w:ilvl="0" w:tplc="D0F02A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C18775C"/>
    <w:multiLevelType w:val="hybridMultilevel"/>
    <w:tmpl w:val="884402CC"/>
    <w:lvl w:ilvl="0" w:tplc="F38A8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0C1C"/>
    <w:multiLevelType w:val="hybridMultilevel"/>
    <w:tmpl w:val="96F6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7F9B"/>
    <w:multiLevelType w:val="hybridMultilevel"/>
    <w:tmpl w:val="689A4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1790F"/>
    <w:multiLevelType w:val="hybridMultilevel"/>
    <w:tmpl w:val="27ECD66E"/>
    <w:lvl w:ilvl="0" w:tplc="BA247ED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17600F1"/>
    <w:multiLevelType w:val="hybridMultilevel"/>
    <w:tmpl w:val="B1C20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57F2E"/>
    <w:multiLevelType w:val="hybridMultilevel"/>
    <w:tmpl w:val="DACE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C6D22"/>
    <w:multiLevelType w:val="hybridMultilevel"/>
    <w:tmpl w:val="F1F25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F04E4"/>
    <w:multiLevelType w:val="hybridMultilevel"/>
    <w:tmpl w:val="874CE768"/>
    <w:lvl w:ilvl="0" w:tplc="929E4E3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DA71E3B"/>
    <w:multiLevelType w:val="hybridMultilevel"/>
    <w:tmpl w:val="E1EA5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26694"/>
    <w:multiLevelType w:val="hybridMultilevel"/>
    <w:tmpl w:val="DEFE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34C32"/>
    <w:multiLevelType w:val="hybridMultilevel"/>
    <w:tmpl w:val="E2603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E67DC2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44DC351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331A6B"/>
    <w:multiLevelType w:val="hybridMultilevel"/>
    <w:tmpl w:val="CD801D72"/>
    <w:lvl w:ilvl="0" w:tplc="E482F234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E035C"/>
    <w:multiLevelType w:val="hybridMultilevel"/>
    <w:tmpl w:val="EA22B66C"/>
    <w:lvl w:ilvl="0" w:tplc="A524057C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213AB"/>
    <w:multiLevelType w:val="hybridMultilevel"/>
    <w:tmpl w:val="62189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43236">
    <w:abstractNumId w:val="3"/>
  </w:num>
  <w:num w:numId="2" w16cid:durableId="1213880972">
    <w:abstractNumId w:val="2"/>
  </w:num>
  <w:num w:numId="3" w16cid:durableId="761334846">
    <w:abstractNumId w:val="6"/>
  </w:num>
  <w:num w:numId="4" w16cid:durableId="1566379513">
    <w:abstractNumId w:val="5"/>
  </w:num>
  <w:num w:numId="5" w16cid:durableId="1486052133">
    <w:abstractNumId w:val="11"/>
  </w:num>
  <w:num w:numId="6" w16cid:durableId="92941814">
    <w:abstractNumId w:val="1"/>
  </w:num>
  <w:num w:numId="7" w16cid:durableId="143354571">
    <w:abstractNumId w:val="16"/>
  </w:num>
  <w:num w:numId="8" w16cid:durableId="1433475866">
    <w:abstractNumId w:val="8"/>
  </w:num>
  <w:num w:numId="9" w16cid:durableId="1318026870">
    <w:abstractNumId w:val="7"/>
  </w:num>
  <w:num w:numId="10" w16cid:durableId="255748526">
    <w:abstractNumId w:val="0"/>
  </w:num>
  <w:num w:numId="11" w16cid:durableId="1012956626">
    <w:abstractNumId w:val="4"/>
  </w:num>
  <w:num w:numId="12" w16cid:durableId="1820918348">
    <w:abstractNumId w:val="12"/>
  </w:num>
  <w:num w:numId="13" w16cid:durableId="926036391">
    <w:abstractNumId w:val="9"/>
  </w:num>
  <w:num w:numId="14" w16cid:durableId="699861430">
    <w:abstractNumId w:val="13"/>
  </w:num>
  <w:num w:numId="15" w16cid:durableId="1757634585">
    <w:abstractNumId w:val="10"/>
  </w:num>
  <w:num w:numId="16" w16cid:durableId="992679731">
    <w:abstractNumId w:val="15"/>
  </w:num>
  <w:num w:numId="17" w16cid:durableId="11186493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50"/>
    <w:rsid w:val="00001FF3"/>
    <w:rsid w:val="00006445"/>
    <w:rsid w:val="000335BA"/>
    <w:rsid w:val="00045C40"/>
    <w:rsid w:val="0009564F"/>
    <w:rsid w:val="000A202B"/>
    <w:rsid w:val="000F5839"/>
    <w:rsid w:val="00135E13"/>
    <w:rsid w:val="001367D0"/>
    <w:rsid w:val="00151587"/>
    <w:rsid w:val="001758BF"/>
    <w:rsid w:val="00175C9A"/>
    <w:rsid w:val="001852DE"/>
    <w:rsid w:val="00195858"/>
    <w:rsid w:val="001E4EF4"/>
    <w:rsid w:val="001E6B90"/>
    <w:rsid w:val="0020177B"/>
    <w:rsid w:val="002100B2"/>
    <w:rsid w:val="00213751"/>
    <w:rsid w:val="00231750"/>
    <w:rsid w:val="002448A4"/>
    <w:rsid w:val="00263217"/>
    <w:rsid w:val="0026585F"/>
    <w:rsid w:val="00287E3E"/>
    <w:rsid w:val="002A2627"/>
    <w:rsid w:val="002A34F3"/>
    <w:rsid w:val="002A451D"/>
    <w:rsid w:val="002E3689"/>
    <w:rsid w:val="002F54BB"/>
    <w:rsid w:val="00343B6F"/>
    <w:rsid w:val="00383D15"/>
    <w:rsid w:val="003A3EAE"/>
    <w:rsid w:val="003A76F0"/>
    <w:rsid w:val="003F1382"/>
    <w:rsid w:val="003F3E67"/>
    <w:rsid w:val="0041115B"/>
    <w:rsid w:val="004355ED"/>
    <w:rsid w:val="00451562"/>
    <w:rsid w:val="00464584"/>
    <w:rsid w:val="004A241E"/>
    <w:rsid w:val="004E603A"/>
    <w:rsid w:val="00540353"/>
    <w:rsid w:val="00543589"/>
    <w:rsid w:val="00555354"/>
    <w:rsid w:val="00583526"/>
    <w:rsid w:val="00591FEA"/>
    <w:rsid w:val="005B5004"/>
    <w:rsid w:val="005E180B"/>
    <w:rsid w:val="005E3F7D"/>
    <w:rsid w:val="005F7AC9"/>
    <w:rsid w:val="006115A6"/>
    <w:rsid w:val="0065602B"/>
    <w:rsid w:val="006A4547"/>
    <w:rsid w:val="006D3F75"/>
    <w:rsid w:val="007028DB"/>
    <w:rsid w:val="007037E3"/>
    <w:rsid w:val="00710231"/>
    <w:rsid w:val="00734E8F"/>
    <w:rsid w:val="00740167"/>
    <w:rsid w:val="00770725"/>
    <w:rsid w:val="00791C16"/>
    <w:rsid w:val="007C28C6"/>
    <w:rsid w:val="007D4541"/>
    <w:rsid w:val="007E75B5"/>
    <w:rsid w:val="00800A5A"/>
    <w:rsid w:val="00835943"/>
    <w:rsid w:val="00893FF5"/>
    <w:rsid w:val="008B21D2"/>
    <w:rsid w:val="00921CC0"/>
    <w:rsid w:val="009574B2"/>
    <w:rsid w:val="00992007"/>
    <w:rsid w:val="009A462E"/>
    <w:rsid w:val="009C02D1"/>
    <w:rsid w:val="009F3025"/>
    <w:rsid w:val="00A07543"/>
    <w:rsid w:val="00A64E98"/>
    <w:rsid w:val="00A92815"/>
    <w:rsid w:val="00A97471"/>
    <w:rsid w:val="00AA1C73"/>
    <w:rsid w:val="00AB384F"/>
    <w:rsid w:val="00AC1AF9"/>
    <w:rsid w:val="00AD0709"/>
    <w:rsid w:val="00AD72B0"/>
    <w:rsid w:val="00AE4753"/>
    <w:rsid w:val="00B70D56"/>
    <w:rsid w:val="00BA1912"/>
    <w:rsid w:val="00BA6190"/>
    <w:rsid w:val="00BC02AF"/>
    <w:rsid w:val="00BD241E"/>
    <w:rsid w:val="00C0568A"/>
    <w:rsid w:val="00C45570"/>
    <w:rsid w:val="00C50CD5"/>
    <w:rsid w:val="00C74FBA"/>
    <w:rsid w:val="00CA3142"/>
    <w:rsid w:val="00CB1A71"/>
    <w:rsid w:val="00CB1F69"/>
    <w:rsid w:val="00CB3872"/>
    <w:rsid w:val="00CC329F"/>
    <w:rsid w:val="00CC6C36"/>
    <w:rsid w:val="00CD6EF1"/>
    <w:rsid w:val="00D2655F"/>
    <w:rsid w:val="00D40622"/>
    <w:rsid w:val="00D66E08"/>
    <w:rsid w:val="00E00CE0"/>
    <w:rsid w:val="00E11E61"/>
    <w:rsid w:val="00E86FA5"/>
    <w:rsid w:val="00EA68B0"/>
    <w:rsid w:val="00EE1C86"/>
    <w:rsid w:val="00EF28E3"/>
    <w:rsid w:val="00EF6A1F"/>
    <w:rsid w:val="00F12EEC"/>
    <w:rsid w:val="00F153CF"/>
    <w:rsid w:val="00F37D04"/>
    <w:rsid w:val="00F867D5"/>
    <w:rsid w:val="00FB7A6B"/>
    <w:rsid w:val="00FC43A3"/>
    <w:rsid w:val="00FD2031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CC17DE"/>
  <w15:docId w15:val="{071B89CE-3156-4DFA-BD43-E3FE10B1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5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175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231750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23175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23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B1A71"/>
    <w:rPr>
      <w:b/>
      <w:bCs/>
    </w:rPr>
  </w:style>
  <w:style w:type="paragraph" w:styleId="NormalnyWeb">
    <w:name w:val="Normal (Web)"/>
    <w:basedOn w:val="Normalny"/>
    <w:rsid w:val="00C4557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1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FC43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43A3"/>
    <w:pPr>
      <w:ind w:left="720"/>
      <w:contextualSpacing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75FC-A845-4523-8CFF-7269F1EB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2031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Anna Talma</cp:lastModifiedBy>
  <cp:revision>13</cp:revision>
  <cp:lastPrinted>2022-04-28T12:14:00Z</cp:lastPrinted>
  <dcterms:created xsi:type="dcterms:W3CDTF">2022-04-28T09:16:00Z</dcterms:created>
  <dcterms:modified xsi:type="dcterms:W3CDTF">2022-05-18T12:16:00Z</dcterms:modified>
</cp:coreProperties>
</file>